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right"/>
        <w:rPr>
          <w:rFonts w:hint="default" w:ascii="Times New Roman" w:hAnsi="Times New Roman" w:cs="Times New Roman"/>
          <w:sz w:val="24"/>
          <w:szCs w:val="24"/>
          <w:lang w:val="ru-RU"/>
        </w:rPr>
      </w:pPr>
      <w:r>
        <w:rPr>
          <w:rFonts w:hint="default" w:ascii="Times New Roman" w:hAnsi="Times New Roman" w:cs="Times New Roman"/>
          <w:sz w:val="24"/>
          <w:szCs w:val="24"/>
        </w:rPr>
        <w:t>Приложение</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к приказу  </w:t>
      </w:r>
      <w:r>
        <w:rPr>
          <w:rFonts w:hint="default" w:ascii="Times New Roman" w:hAnsi="Times New Roman" w:cs="Times New Roman"/>
          <w:sz w:val="24"/>
          <w:szCs w:val="24"/>
        </w:rPr>
        <w:br w:type="textWrapping"/>
      </w:r>
      <w:r>
        <w:rPr>
          <w:rFonts w:hint="default" w:ascii="Times New Roman" w:hAnsi="Times New Roman" w:cs="Times New Roman"/>
          <w:sz w:val="24"/>
          <w:szCs w:val="24"/>
        </w:rPr>
        <w:t>МКУ «Муниципальный архив»</w:t>
      </w:r>
      <w:r>
        <w:rPr>
          <w:rFonts w:hint="default" w:ascii="Times New Roman" w:hAnsi="Times New Roman" w:cs="Times New Roman"/>
          <w:sz w:val="24"/>
          <w:szCs w:val="24"/>
        </w:rPr>
        <w:br w:type="textWrapping"/>
      </w:r>
      <w:r>
        <w:rPr>
          <w:rFonts w:hint="default" w:ascii="Times New Roman" w:hAnsi="Times New Roman" w:cs="Times New Roman"/>
          <w:sz w:val="24"/>
          <w:szCs w:val="24"/>
        </w:rPr>
        <w:t>от «</w:t>
      </w:r>
      <w:r>
        <w:rPr>
          <w:rFonts w:hint="default" w:ascii="Times New Roman" w:hAnsi="Times New Roman" w:cs="Times New Roman"/>
          <w:sz w:val="24"/>
          <w:szCs w:val="24"/>
          <w:lang w:val="en-US"/>
        </w:rPr>
        <w:t>21</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декабря </w:t>
      </w:r>
      <w:r>
        <w:rPr>
          <w:rFonts w:hint="default" w:ascii="Times New Roman" w:hAnsi="Times New Roman" w:cs="Times New Roman"/>
          <w:sz w:val="24"/>
          <w:szCs w:val="24"/>
        </w:rPr>
        <w:t>202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года №</w:t>
      </w:r>
      <w:r>
        <w:rPr>
          <w:rFonts w:hint="default" w:ascii="Times New Roman" w:hAnsi="Times New Roman" w:cs="Times New Roman"/>
          <w:sz w:val="24"/>
          <w:szCs w:val="24"/>
          <w:lang w:val="ru-RU"/>
        </w:rPr>
        <w:t>31</w:t>
      </w:r>
    </w:p>
    <w:p>
      <w:pPr>
        <w:ind w:firstLine="709"/>
        <w:jc w:val="right"/>
        <w:rPr>
          <w:rFonts w:hint="default" w:ascii="Times New Roman" w:hAnsi="Times New Roman" w:cs="Times New Roman"/>
          <w:sz w:val="24"/>
          <w:szCs w:val="24"/>
        </w:rPr>
      </w:pPr>
    </w:p>
    <w:p>
      <w:p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ПОЛОЖЕНИЕ ОБ АНТИКОРРУПЦИОННОЙ ПОЛИТИКЕ</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 xml:space="preserve">Муниципального казенного учреждения «Муниципальный архив» </w:t>
      </w:r>
      <w:r>
        <w:rPr>
          <w:rFonts w:hint="default" w:ascii="Times New Roman" w:hAnsi="Times New Roman" w:cs="Times New Roman"/>
          <w:b/>
          <w:sz w:val="24"/>
          <w:szCs w:val="24"/>
          <w:lang w:val="ru-RU"/>
        </w:rPr>
        <w:t>м</w:t>
      </w:r>
      <w:r>
        <w:rPr>
          <w:rFonts w:hint="default" w:ascii="Times New Roman" w:hAnsi="Times New Roman" w:cs="Times New Roman"/>
          <w:b/>
          <w:sz w:val="24"/>
          <w:szCs w:val="24"/>
        </w:rPr>
        <w:t>униципального образования город Алексин</w:t>
      </w: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Общие положения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Антикоррупционная политика Муниципального казенного учреждения «Муниципальный архив» муниципального образования город Алексин (далее МКУ «Муниципальный архив», Учреждение) представляет собой комплекс закрепленный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МКУ «Муниципальный архив».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Целями антикоррупционной политики Учреждения являются: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минимизация рисков вовлечения Учреждения и его работников в коррупционную деятельность;</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формирование единого подхода к организации работы по предупреждению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формирование у работников Учреждения нетерпимости к коррупционному поведению.</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 Задачами антикоррупционной политики Учреждения являются: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определение основных принципов работы по предупреждению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 Для целей настоящего Положения используются следующие основные понятия: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коррупция</w:t>
      </w:r>
      <w:r>
        <w:rPr>
          <w:rFonts w:hint="default"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взятка</w:t>
      </w:r>
      <w:r>
        <w:rPr>
          <w:rFonts w:hint="default"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коммерческий подкуп</w:t>
      </w:r>
      <w:r>
        <w:rPr>
          <w:rFonts w:hint="default"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противодействие коррупции</w:t>
      </w:r>
      <w:r>
        <w:rPr>
          <w:rFonts w:hint="default"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по минимизации и (или) ликвидации последствий коррупционных правонарушений;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предупреждение коррупции</w:t>
      </w:r>
      <w:r>
        <w:rPr>
          <w:rFonts w:hint="default" w:ascii="Times New Roman" w:hAnsi="Times New Roman" w:cs="Times New Roman"/>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работник Учреждения</w:t>
      </w:r>
      <w:r>
        <w:rPr>
          <w:rFonts w:hint="default" w:ascii="Times New Roman" w:hAnsi="Times New Roman" w:cs="Times New Roman"/>
          <w:sz w:val="24"/>
          <w:szCs w:val="24"/>
        </w:rPr>
        <w:t xml:space="preserve"> - физическое лицо, вступившее в трудовые отношения с Учреждением;</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контрагент Учреждения</w:t>
      </w:r>
      <w:r>
        <w:rPr>
          <w:rFonts w:hint="default" w:ascii="Times New Roman" w:hAnsi="Times New Roman" w:cs="Times New Roman"/>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конфликт интересов</w:t>
      </w:r>
      <w:r>
        <w:rPr>
          <w:rFonts w:hint="default"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b/>
          <w:sz w:val="24"/>
          <w:szCs w:val="24"/>
        </w:rPr>
        <w:t>личная заинтересованность</w:t>
      </w:r>
      <w:r>
        <w:rPr>
          <w:rFonts w:hint="default"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pPr>
        <w:pStyle w:val="7"/>
        <w:ind w:left="0" w:firstLine="709"/>
        <w:jc w:val="both"/>
        <w:rPr>
          <w:rFonts w:hint="default" w:ascii="Times New Roman" w:hAnsi="Times New Roman" w:cs="Times New Roman"/>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Область применения настоящего Положения и круг лиц, на которых распространяется его действие</w:t>
      </w:r>
    </w:p>
    <w:p>
      <w:pPr>
        <w:pStyle w:val="7"/>
        <w:ind w:left="714" w:firstLine="709"/>
        <w:rPr>
          <w:rFonts w:hint="default" w:ascii="Times New Roman" w:hAnsi="Times New Roman" w:cs="Times New Roman"/>
          <w:b/>
          <w:sz w:val="24"/>
          <w:szCs w:val="24"/>
        </w:rPr>
      </w:pP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pPr>
        <w:pStyle w:val="7"/>
        <w:ind w:left="0" w:firstLine="709"/>
        <w:jc w:val="both"/>
        <w:rPr>
          <w:rFonts w:hint="default" w:ascii="Times New Roman" w:hAnsi="Times New Roman" w:cs="Times New Roman"/>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Основные принципы антикоррупционной политики Учреждения</w:t>
      </w:r>
    </w:p>
    <w:p>
      <w:pPr>
        <w:pStyle w:val="7"/>
        <w:ind w:firstLine="709"/>
        <w:rPr>
          <w:rFonts w:hint="default" w:ascii="Times New Roman" w:hAnsi="Times New Roman" w:cs="Times New Roman"/>
          <w:b/>
          <w:sz w:val="24"/>
          <w:szCs w:val="24"/>
        </w:rPr>
      </w:pP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8. Антикоррупционная политика Учреждения основывается на следующих основных принципах:</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принцип личного примера руководства.</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принцип вовлеченности работников.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принцип соразмерности антикоррупционных процедур коррупционным рискам.</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принцип эффективности антикоррупционных процедур.</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6) принцип ответственности и неотвратимости наказания.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принцип открытости хозяйственной и иной деятельности.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8) принцип постоянного контроля и регулярного мониторинга.</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7"/>
        <w:ind w:left="0" w:firstLine="709"/>
        <w:jc w:val="both"/>
        <w:rPr>
          <w:rFonts w:hint="default" w:ascii="Times New Roman" w:hAnsi="Times New Roman" w:cs="Times New Roman"/>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Должностные лица Учреждения, ответственные за реализацию антикоррупционной политики Учреждения</w:t>
      </w:r>
    </w:p>
    <w:p>
      <w:pPr>
        <w:pStyle w:val="7"/>
        <w:ind w:firstLine="709"/>
        <w:rPr>
          <w:rFonts w:hint="default" w:ascii="Times New Roman" w:hAnsi="Times New Roman" w:cs="Times New Roman"/>
          <w:b/>
          <w:sz w:val="24"/>
          <w:szCs w:val="24"/>
        </w:rPr>
      </w:pP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организация проведения оценки коррупционных рисков;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организация работы по рассмотрению сообщений о конфликте интересов;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индивидуальное консультирование работников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участие в организации антикоррупционной пропаганды;</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w:t>
      </w:r>
    </w:p>
    <w:p>
      <w:pPr>
        <w:pStyle w:val="7"/>
        <w:ind w:left="0" w:firstLine="709"/>
        <w:jc w:val="both"/>
        <w:rPr>
          <w:rFonts w:hint="default" w:ascii="Times New Roman" w:hAnsi="Times New Roman" w:cs="Times New Roman"/>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Обязанности руководителя Учреждения и работников Учреждения, по предупреждению коррупции</w:t>
      </w:r>
    </w:p>
    <w:p>
      <w:pPr>
        <w:pStyle w:val="7"/>
        <w:ind w:firstLine="709"/>
        <w:rPr>
          <w:rFonts w:hint="default" w:ascii="Times New Roman" w:hAnsi="Times New Roman" w:cs="Times New Roman"/>
          <w:b/>
          <w:sz w:val="24"/>
          <w:szCs w:val="24"/>
        </w:rPr>
      </w:pP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Работники Учреждения знакомятся с настоящим Положением под роспись.</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pPr>
        <w:pStyle w:val="7"/>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pPr>
        <w:pStyle w:val="7"/>
        <w:ind w:left="0" w:firstLine="709"/>
        <w:jc w:val="both"/>
        <w:rPr>
          <w:rFonts w:hint="default" w:ascii="Times New Roman" w:hAnsi="Times New Roman" w:cs="Times New Roman"/>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Перечень мероприятий по предупреждению коррупции, реализуемых Учреждением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pStyle w:val="7"/>
              <w:spacing w:after="0" w:line="240" w:lineRule="auto"/>
              <w:ind w:left="0"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Направление</w:t>
            </w:r>
          </w:p>
        </w:tc>
        <w:tc>
          <w:tcPr>
            <w:tcW w:w="5494" w:type="dxa"/>
          </w:tcPr>
          <w:p>
            <w:pPr>
              <w:pStyle w:val="7"/>
              <w:spacing w:after="0" w:line="240" w:lineRule="auto"/>
              <w:ind w:left="0"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Мероприятие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restart"/>
          </w:tcPr>
          <w:p>
            <w:pPr>
              <w:pStyle w:val="7"/>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Нормативное обеспечение, закрепление стандартов поведения и декларация намерений</w:t>
            </w: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принятие Кодекса этики и служебного поведения работников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внедрение положения о конфликте интересов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restart"/>
          </w:tcPr>
          <w:p>
            <w:pPr>
              <w:pStyle w:val="7"/>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введение специальных антикоррупционных процедур</w:t>
            </w:r>
          </w:p>
        </w:tc>
        <w:tc>
          <w:tcPr>
            <w:tcW w:w="5494" w:type="dxa"/>
          </w:tcPr>
          <w:p>
            <w:pPr>
              <w:pStyle w:val="7"/>
              <w:spacing w:after="0" w:line="24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w:t>
            </w:r>
            <w:r>
              <w:rPr>
                <w:rFonts w:hint="default" w:ascii="Times New Roman" w:hAnsi="Times New Roman" w:cs="Times New Roman"/>
                <w:sz w:val="24"/>
                <w:szCs w:val="24"/>
              </w:rPr>
              <w:tab/>
            </w:r>
            <w:r>
              <w:rPr>
                <w:rFonts w:hint="default" w:ascii="Times New Roman" w:hAnsi="Times New Roman" w:cs="Times New Roman"/>
                <w:sz w:val="24"/>
                <w:szCs w:val="24"/>
              </w:rPr>
              <w:t>коррупционных нарушений и порядка рассмотрения таких сообщений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12"/>
              <w:tabs>
                <w:tab w:val="left" w:pos="1627"/>
                <w:tab w:val="left" w:pos="3379"/>
                <w:tab w:val="left" w:pos="5016"/>
                <w:tab w:val="left" w:pos="5496"/>
              </w:tabs>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color w:val="000000"/>
                <w:sz w:val="24"/>
                <w:szCs w:val="24"/>
                <w:lang w:eastAsia="ru-RU" w:bidi="ru-RU"/>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12"/>
              <w:tabs>
                <w:tab w:val="left" w:pos="1627"/>
                <w:tab w:val="left" w:pos="3379"/>
                <w:tab w:val="left" w:pos="5016"/>
                <w:tab w:val="left" w:pos="5496"/>
              </w:tabs>
              <w:ind w:firstLine="709"/>
              <w:jc w:val="both"/>
              <w:rPr>
                <w:rFonts w:hint="default" w:ascii="Times New Roman" w:hAnsi="Times New Roman" w:cs="Times New Roman"/>
                <w:b/>
                <w:sz w:val="24"/>
                <w:szCs w:val="24"/>
              </w:rPr>
            </w:pPr>
            <w:r>
              <w:rPr>
                <w:rFonts w:hint="default" w:ascii="Times New Roman" w:hAnsi="Times New Roman" w:cs="Times New Roman"/>
                <w:color w:val="000000"/>
                <w:sz w:val="24"/>
                <w:szCs w:val="24"/>
                <w:lang w:eastAsia="ru-RU" w:bidi="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restart"/>
          </w:tcPr>
          <w:p>
            <w:pPr>
              <w:pStyle w:val="7"/>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Обучение и информирование работников Учреждения</w:t>
            </w: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обучающих мероприятий по вопросам профилактики и противодействия коррупции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tcPr>
          <w:p>
            <w:pPr>
              <w:pStyle w:val="7"/>
              <w:spacing w:after="0" w:line="240" w:lineRule="auto"/>
              <w:ind w:left="0" w:firstLine="709"/>
              <w:rPr>
                <w:rFonts w:hint="default" w:ascii="Times New Roman" w:hAnsi="Times New Roman" w:cs="Times New Roman"/>
                <w:b/>
                <w:sz w:val="24"/>
                <w:szCs w:val="24"/>
              </w:rPr>
            </w:pP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pStyle w:val="7"/>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проводимой антикоррупционной работы</w:t>
            </w:r>
          </w:p>
        </w:tc>
        <w:tc>
          <w:tcPr>
            <w:tcW w:w="5494" w:type="dxa"/>
          </w:tcPr>
          <w:p>
            <w:pPr>
              <w:pStyle w:val="7"/>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pPr>
        <w:pStyle w:val="7"/>
        <w:ind w:left="0" w:firstLine="709"/>
        <w:rPr>
          <w:rFonts w:hint="default" w:ascii="Times New Roman" w:hAnsi="Times New Roman" w:cs="Times New Roman"/>
          <w:b/>
          <w:sz w:val="24"/>
          <w:szCs w:val="24"/>
        </w:rPr>
      </w:pPr>
    </w:p>
    <w:p>
      <w:pPr>
        <w:pStyle w:val="7"/>
        <w:numPr>
          <w:ilvl w:val="0"/>
          <w:numId w:val="1"/>
        </w:numPr>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Меры по предупреждению коррупции при взаимодействии с контрагентами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pPr>
        <w:spacing w:after="0"/>
        <w:ind w:firstLine="709"/>
        <w:jc w:val="both"/>
        <w:rPr>
          <w:rFonts w:hint="default" w:ascii="Times New Roman" w:hAnsi="Times New Roman" w:cs="Times New Roman"/>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Оценка коррупционных рисков</w:t>
      </w:r>
    </w:p>
    <w:p>
      <w:pPr>
        <w:pStyle w:val="7"/>
        <w:spacing w:after="0"/>
        <w:ind w:left="0" w:firstLine="709"/>
        <w:rPr>
          <w:rFonts w:hint="default" w:ascii="Times New Roman" w:hAnsi="Times New Roman" w:cs="Times New Roman"/>
          <w:b/>
          <w:sz w:val="24"/>
          <w:szCs w:val="24"/>
        </w:rPr>
      </w:pP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18. В Учреждении устанавливается следующий порядок проведения оценки коррупционных рисков:</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определение перечня должностей в Учреждении, связанных с высоким уровнем коррупционного риска;</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разработка комплекса мер по устранению или минимизации коррупционных рисков.</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19. Перечень должностей в Учреждении, связанных с различного рода коррупционными рисками, включает в себя:</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директора Учреждения;</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ru-RU"/>
        </w:rPr>
        <w:t>архивист</w:t>
      </w:r>
      <w:r>
        <w:rPr>
          <w:rFonts w:hint="default" w:ascii="Times New Roman" w:hAnsi="Times New Roman" w:cs="Times New Roman"/>
          <w:sz w:val="24"/>
          <w:szCs w:val="24"/>
        </w:rPr>
        <w:t>;</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ru-RU"/>
        </w:rPr>
        <w:t>методист</w:t>
      </w:r>
      <w:r>
        <w:rPr>
          <w:rFonts w:hint="default" w:ascii="Times New Roman" w:hAnsi="Times New Roman" w:cs="Times New Roman"/>
          <w:sz w:val="24"/>
          <w:szCs w:val="24"/>
        </w:rPr>
        <w:t>.</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20. Карта коррупционных рисков Учреждения включает следующие «критические точки»:</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все виды платных услуг, оказываемых Учреждением;</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хозяйственно-закупочная деятельность;</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процессы, связанные с движением кадров в Учреждении (прием на работу, повышение в должности и т.д.);</w:t>
      </w:r>
    </w:p>
    <w:p>
      <w:pPr>
        <w:pStyle w:val="7"/>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принятие управленческих решений.</w:t>
      </w:r>
    </w:p>
    <w:p>
      <w:pPr>
        <w:pStyle w:val="7"/>
        <w:spacing w:after="0"/>
        <w:ind w:left="0" w:firstLine="709"/>
        <w:jc w:val="both"/>
        <w:rPr>
          <w:rFonts w:hint="default" w:ascii="Times New Roman" w:hAnsi="Times New Roman" w:cs="Times New Roman"/>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Подарки и представительские расходы</w:t>
      </w:r>
    </w:p>
    <w:p>
      <w:pPr>
        <w:spacing w:after="0"/>
        <w:ind w:firstLine="709"/>
        <w:jc w:val="center"/>
        <w:rPr>
          <w:rFonts w:hint="default" w:ascii="Times New Roman" w:hAnsi="Times New Roman" w:cs="Times New Roman"/>
          <w:b/>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b/>
          <w:sz w:val="24"/>
          <w:szCs w:val="24"/>
        </w:rPr>
        <w:t>. </w:t>
      </w:r>
      <w:r>
        <w:rPr>
          <w:rFonts w:hint="default" w:ascii="Times New Roman" w:hAnsi="Times New Roman" w:cs="Times New Roman"/>
          <w:sz w:val="24"/>
          <w:szCs w:val="24"/>
        </w:rPr>
        <w:t>Подарки,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4 критериев :</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быть прямо связанными с целями деятельности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быть разумно обоснованными, соразмерными и не являться предметами роскоши;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23. 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которых официально участвует Учреждение, допускаются и рассматриваются в качестве имиджевых материалов.</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24.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pPr>
        <w:spacing w:after="0"/>
        <w:ind w:firstLine="709"/>
        <w:jc w:val="both"/>
        <w:rPr>
          <w:rFonts w:hint="default" w:ascii="Times New Roman" w:hAnsi="Times New Roman" w:cs="Times New Roman"/>
          <w:b/>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Антикоррупционное просвещение работников Учреждения</w:t>
      </w:r>
    </w:p>
    <w:p>
      <w:pPr>
        <w:pStyle w:val="7"/>
        <w:spacing w:after="0"/>
        <w:ind w:left="0" w:firstLine="709"/>
        <w:rPr>
          <w:rFonts w:hint="default" w:ascii="Times New Roman" w:hAnsi="Times New Roman" w:cs="Times New Roman"/>
          <w:b/>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pPr>
        <w:spacing w:after="0"/>
        <w:ind w:firstLine="709"/>
        <w:jc w:val="both"/>
        <w:rPr>
          <w:rFonts w:hint="default" w:ascii="Times New Roman" w:hAnsi="Times New Roman" w:cs="Times New Roman"/>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Внутренний контроль и аудит</w:t>
      </w:r>
    </w:p>
    <w:p>
      <w:pPr>
        <w:pStyle w:val="7"/>
        <w:spacing w:after="0"/>
        <w:ind w:left="0" w:firstLine="709"/>
        <w:rPr>
          <w:rFonts w:hint="default" w:ascii="Times New Roman" w:hAnsi="Times New Roman" w:cs="Times New Roman"/>
          <w:b/>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8</w:t>
      </w:r>
      <w:r>
        <w:rPr>
          <w:rFonts w:hint="default" w:ascii="Times New Roman" w:hAnsi="Times New Roman" w:cs="Times New Roman"/>
          <w:sz w:val="24"/>
          <w:szCs w:val="24"/>
        </w:rPr>
        <w:t>. Для реализации мер предупреждения коррупции в Учреждении осуществляются следующие мероприятия внутреннего контроля и аудита:</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контроль документирования операций хозяйственной деятельности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29</w:t>
      </w:r>
      <w:r>
        <w:rPr>
          <w:rFonts w:hint="default" w:ascii="Times New Roman" w:hAnsi="Times New Roman" w:cs="Times New Roman"/>
          <w:sz w:val="24"/>
          <w:szCs w:val="24"/>
        </w:rPr>
        <w:t>.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0</w:t>
      </w:r>
      <w:r>
        <w:rPr>
          <w:rFonts w:hint="default" w:ascii="Times New Roman" w:hAnsi="Times New Roman"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с учетом обстоятельств - индикаторов неправомерных действий:</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оплата услуг, характер которых не определен либо вызывает сомнения;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закупки или продажи по ценам, значительно отличающимся от рыночных цен.</w:t>
      </w: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pPr>
        <w:pStyle w:val="7"/>
        <w:spacing w:after="0"/>
        <w:ind w:left="709" w:firstLine="709"/>
        <w:jc w:val="both"/>
        <w:rPr>
          <w:rFonts w:hint="default" w:ascii="Times New Roman" w:hAnsi="Times New Roman" w:cs="Times New Roman"/>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w:t>
      </w:r>
      <w:r>
        <w:rPr>
          <w:rFonts w:hint="default" w:ascii="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w:t>
      </w:r>
      <w:r>
        <w:rPr>
          <w:rFonts w:hint="default" w:ascii="Times New Roman" w:hAnsi="Times New Roman" w:cs="Times New Roman"/>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w:t>
      </w:r>
      <w:r>
        <w:rPr>
          <w:rFonts w:hint="default"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4</w:t>
      </w:r>
      <w:r>
        <w:rPr>
          <w:rFonts w:hint="default"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5</w:t>
      </w:r>
      <w:r>
        <w:rPr>
          <w:rFonts w:hint="default" w:ascii="Times New Roman" w:hAnsi="Times New Roman" w:cs="Times New Roman"/>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pPr>
        <w:spacing w:after="0"/>
        <w:ind w:firstLine="709"/>
        <w:jc w:val="both"/>
        <w:rPr>
          <w:rFonts w:hint="default" w:ascii="Times New Roman" w:hAnsi="Times New Roman" w:cs="Times New Roman"/>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Ответственность за несоблюдение требований настоящего Положения и нарушение антикоррупционного законодательства</w:t>
      </w:r>
    </w:p>
    <w:p>
      <w:pPr>
        <w:pStyle w:val="7"/>
        <w:spacing w:after="0"/>
        <w:ind w:left="709" w:firstLine="709"/>
        <w:rPr>
          <w:rFonts w:hint="default" w:ascii="Times New Roman" w:hAnsi="Times New Roman" w:cs="Times New Roman"/>
          <w:b/>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6</w:t>
      </w:r>
      <w:r>
        <w:rPr>
          <w:rFonts w:hint="default"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7</w:t>
      </w:r>
      <w:r>
        <w:rPr>
          <w:rFonts w:hint="default" w:ascii="Times New Roman" w:hAnsi="Times New Roman" w:cs="Times New Roman"/>
          <w:sz w:val="24"/>
          <w:szCs w:val="24"/>
        </w:rPr>
        <w:t>.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38</w:t>
      </w:r>
      <w:r>
        <w:rPr>
          <w:rFonts w:hint="default" w:ascii="Times New Roman" w:hAnsi="Times New Roman" w:cs="Times New Roman"/>
          <w:sz w:val="24"/>
          <w:szCs w:val="24"/>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pPr>
        <w:spacing w:after="0"/>
        <w:ind w:firstLine="709"/>
        <w:jc w:val="both"/>
        <w:rPr>
          <w:rFonts w:hint="default" w:ascii="Times New Roman" w:hAnsi="Times New Roman" w:cs="Times New Roman"/>
          <w:sz w:val="24"/>
          <w:szCs w:val="24"/>
        </w:rPr>
      </w:pPr>
    </w:p>
    <w:p>
      <w:pPr>
        <w:pStyle w:val="7"/>
        <w:numPr>
          <w:ilvl w:val="0"/>
          <w:numId w:val="1"/>
        </w:numPr>
        <w:spacing w:after="0"/>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Порядок пересмотра настоящего Положения и внесения в него изменений</w:t>
      </w:r>
    </w:p>
    <w:p>
      <w:pPr>
        <w:spacing w:after="0"/>
        <w:ind w:firstLine="709"/>
        <w:jc w:val="both"/>
        <w:rPr>
          <w:rFonts w:hint="default" w:ascii="Times New Roman" w:hAnsi="Times New Roman" w:cs="Times New Roman"/>
          <w:sz w:val="24"/>
          <w:szCs w:val="24"/>
        </w:rPr>
      </w:pP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39</w:t>
      </w:r>
      <w:r>
        <w:rPr>
          <w:rFonts w:hint="default" w:ascii="Times New Roman" w:hAnsi="Times New Roman" w:cs="Times New Roman"/>
          <w:sz w:val="24"/>
          <w:szCs w:val="24"/>
        </w:rPr>
        <w:t>. Учреждение осуществляет регулярный мониторинг эффективности реализации антикоррупционной политики Учреждения.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0</w:t>
      </w:r>
      <w:r>
        <w:rPr>
          <w:rFonts w:hint="default" w:ascii="Times New Roman" w:hAnsi="Times New Roman" w:cs="Times New Roman"/>
          <w:sz w:val="24"/>
          <w:szCs w:val="24"/>
        </w:rPr>
        <w:t>.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pPr>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1</w:t>
      </w:r>
      <w:bookmarkStart w:id="0" w:name="_GoBack"/>
      <w:bookmarkEnd w:id="0"/>
      <w:r>
        <w:rPr>
          <w:rFonts w:hint="default" w:ascii="Times New Roman" w:hAnsi="Times New Roman" w:cs="Times New Roman"/>
          <w:sz w:val="24"/>
          <w:szCs w:val="24"/>
        </w:rPr>
        <w:t>.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sectPr>
      <w:endnotePr>
        <w:numFmt w:val="decimal"/>
      </w:endnote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B117B"/>
    <w:multiLevelType w:val="multilevel"/>
    <w:tmpl w:val="257B117B"/>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08"/>
  <w:characterSpacingControl w:val="doNotCompress"/>
  <w:footnotePr>
    <w:footnote w:id="0"/>
    <w:footnote w:id="1"/>
  </w:footnotePr>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92"/>
    <w:rsid w:val="003D5966"/>
    <w:rsid w:val="00552DA5"/>
    <w:rsid w:val="00905289"/>
    <w:rsid w:val="00AE6FAA"/>
    <w:rsid w:val="00C043CF"/>
    <w:rsid w:val="00C66BA9"/>
    <w:rsid w:val="00C97292"/>
    <w:rsid w:val="55D93164"/>
    <w:rsid w:val="61BB67E1"/>
    <w:rsid w:val="6C992049"/>
    <w:rsid w:val="7CB63E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ndnote reference"/>
    <w:basedOn w:val="2"/>
    <w:semiHidden/>
    <w:unhideWhenUsed/>
    <w:uiPriority w:val="99"/>
    <w:rPr>
      <w:vertAlign w:val="superscript"/>
    </w:rPr>
  </w:style>
  <w:style w:type="paragraph" w:styleId="5">
    <w:name w:val="endnote text"/>
    <w:basedOn w:val="1"/>
    <w:link w:val="8"/>
    <w:semiHidden/>
    <w:unhideWhenUsed/>
    <w:uiPriority w:val="99"/>
    <w:pPr>
      <w:spacing w:after="0" w:line="240" w:lineRule="auto"/>
    </w:pPr>
    <w:rPr>
      <w:sz w:val="20"/>
      <w:szCs w:val="20"/>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Текст концевой сноски Знак"/>
    <w:basedOn w:val="2"/>
    <w:link w:val="5"/>
    <w:semiHidden/>
    <w:uiPriority w:val="99"/>
    <w:rPr>
      <w:sz w:val="20"/>
      <w:szCs w:val="20"/>
    </w:rPr>
  </w:style>
  <w:style w:type="character" w:customStyle="1" w:styleId="9">
    <w:name w:val="Сноска_"/>
    <w:basedOn w:val="2"/>
    <w:link w:val="10"/>
    <w:uiPriority w:val="0"/>
    <w:rPr>
      <w:rFonts w:ascii="Times New Roman" w:hAnsi="Times New Roman" w:eastAsia="Times New Roman" w:cs="Times New Roman"/>
      <w:sz w:val="20"/>
      <w:szCs w:val="20"/>
    </w:rPr>
  </w:style>
  <w:style w:type="paragraph" w:customStyle="1" w:styleId="10">
    <w:name w:val="Сноска"/>
    <w:basedOn w:val="1"/>
    <w:link w:val="9"/>
    <w:uiPriority w:val="0"/>
    <w:pPr>
      <w:widowControl w:val="0"/>
      <w:spacing w:after="0" w:line="240" w:lineRule="auto"/>
      <w:ind w:firstLine="720"/>
    </w:pPr>
    <w:rPr>
      <w:rFonts w:ascii="Times New Roman" w:hAnsi="Times New Roman" w:eastAsia="Times New Roman" w:cs="Times New Roman"/>
      <w:sz w:val="20"/>
      <w:szCs w:val="20"/>
    </w:rPr>
  </w:style>
  <w:style w:type="character" w:customStyle="1" w:styleId="11">
    <w:name w:val="Другое_"/>
    <w:basedOn w:val="2"/>
    <w:link w:val="12"/>
    <w:uiPriority w:val="0"/>
    <w:rPr>
      <w:rFonts w:ascii="Times New Roman" w:hAnsi="Times New Roman" w:eastAsia="Times New Roman" w:cs="Times New Roman"/>
    </w:rPr>
  </w:style>
  <w:style w:type="paragraph" w:customStyle="1" w:styleId="12">
    <w:name w:val="Другое"/>
    <w:basedOn w:val="1"/>
    <w:link w:val="11"/>
    <w:uiPriority w:val="0"/>
    <w:pPr>
      <w:widowControl w:val="0"/>
      <w:spacing w:after="0" w:line="240"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AA82-E2AD-484E-9A44-A0CE8B9997C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4190</Words>
  <Characters>23888</Characters>
  <Lines>199</Lines>
  <Paragraphs>56</Paragraphs>
  <TotalTime>85</TotalTime>
  <ScaleCrop>false</ScaleCrop>
  <LinksUpToDate>false</LinksUpToDate>
  <CharactersWithSpaces>28022</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2022-06-27T15:46:00Z</dcterms:created>
  <dc:creator>Натаха</dc:creator>
  <cp:lastModifiedBy>Юля</cp:lastModifiedBy>
  <cp:lastPrinted>2022-06-28T06:14:53Z</cp:lastPrinted>
  <dcterms:modified xsi:type="dcterms:W3CDTF">2022-06-28T06:31:45Z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0EED47B998C44F84B410EE1FE387ED59</vt:lpwstr>
  </property>
</Properties>
</file>