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F5" w:rsidRPr="006D4AF5" w:rsidRDefault="006D4AF5" w:rsidP="006D4AF5">
      <w:pPr>
        <w:pStyle w:val="a3"/>
        <w:jc w:val="center"/>
        <w:rPr>
          <w:b/>
          <w:sz w:val="26"/>
          <w:szCs w:val="26"/>
          <w:u w:val="single"/>
        </w:rPr>
      </w:pPr>
      <w:r w:rsidRPr="006D4AF5">
        <w:rPr>
          <w:b/>
          <w:sz w:val="26"/>
          <w:szCs w:val="26"/>
          <w:u w:val="single"/>
        </w:rPr>
        <w:t xml:space="preserve">Финансовая и нефинансовая поддержка </w:t>
      </w:r>
      <w:r w:rsidR="0090446C">
        <w:rPr>
          <w:b/>
          <w:sz w:val="26"/>
          <w:szCs w:val="26"/>
          <w:u w:val="single"/>
        </w:rPr>
        <w:t xml:space="preserve">российских </w:t>
      </w:r>
      <w:r w:rsidRPr="006D4AF5">
        <w:rPr>
          <w:b/>
          <w:sz w:val="26"/>
          <w:szCs w:val="26"/>
          <w:u w:val="single"/>
          <w:lang w:val="en-US"/>
        </w:rPr>
        <w:t>IT</w:t>
      </w:r>
      <w:r w:rsidRPr="006D4AF5">
        <w:rPr>
          <w:b/>
          <w:sz w:val="26"/>
          <w:szCs w:val="26"/>
          <w:u w:val="single"/>
        </w:rPr>
        <w:t>-компаний</w:t>
      </w:r>
    </w:p>
    <w:p w:rsidR="006D4AF5" w:rsidRPr="006D4AF5" w:rsidRDefault="006D4AF5" w:rsidP="006D4AF5">
      <w:pPr>
        <w:pStyle w:val="a3"/>
        <w:jc w:val="both"/>
        <w:rPr>
          <w:sz w:val="26"/>
          <w:szCs w:val="26"/>
        </w:rPr>
      </w:pPr>
    </w:p>
    <w:p w:rsidR="00672541" w:rsidRPr="0089261F" w:rsidRDefault="00D36742" w:rsidP="006D4AF5">
      <w:pPr>
        <w:pStyle w:val="a3"/>
        <w:ind w:firstLine="720"/>
        <w:jc w:val="both"/>
        <w:rPr>
          <w:spacing w:val="-2"/>
          <w:sz w:val="26"/>
          <w:szCs w:val="26"/>
        </w:rPr>
      </w:pPr>
      <w:r w:rsidRPr="0089261F">
        <w:rPr>
          <w:sz w:val="26"/>
          <w:szCs w:val="26"/>
        </w:rPr>
        <w:t xml:space="preserve">Лучше сумм, сэкономленных на налогах, только «живые» деньги, которые можно вложить в развитие бизнеса. Для поддержки российского IT-сектора Президент России инициировал создание национального проекта «Цифровая </w:t>
      </w:r>
      <w:r w:rsidRPr="0089261F">
        <w:rPr>
          <w:spacing w:val="-2"/>
          <w:sz w:val="26"/>
          <w:szCs w:val="26"/>
        </w:rPr>
        <w:t>экономика».</w:t>
      </w:r>
    </w:p>
    <w:p w:rsidR="00D36742" w:rsidRPr="0089261F" w:rsidRDefault="00D36742" w:rsidP="006D4AF5">
      <w:pPr>
        <w:pStyle w:val="a3"/>
        <w:jc w:val="both"/>
        <w:rPr>
          <w:sz w:val="26"/>
          <w:szCs w:val="26"/>
        </w:rPr>
      </w:pPr>
    </w:p>
    <w:p w:rsidR="00672541" w:rsidRPr="006D4AF5" w:rsidRDefault="00D36742" w:rsidP="006D4AF5">
      <w:pPr>
        <w:pStyle w:val="a3"/>
        <w:ind w:firstLine="720"/>
        <w:jc w:val="both"/>
        <w:rPr>
          <w:i/>
          <w:spacing w:val="-2"/>
          <w:sz w:val="26"/>
          <w:szCs w:val="26"/>
          <w:u w:val="single"/>
        </w:rPr>
      </w:pPr>
      <w:r w:rsidRPr="006D4AF5">
        <w:rPr>
          <w:i/>
          <w:sz w:val="26"/>
          <w:szCs w:val="26"/>
          <w:u w:val="single"/>
        </w:rPr>
        <w:t xml:space="preserve">Статус национального проекта помогает привлекать </w:t>
      </w:r>
      <w:r w:rsidRPr="006D4AF5">
        <w:rPr>
          <w:i/>
          <w:spacing w:val="-2"/>
          <w:sz w:val="26"/>
          <w:szCs w:val="26"/>
          <w:u w:val="single"/>
        </w:rPr>
        <w:t>деньги</w:t>
      </w:r>
    </w:p>
    <w:p w:rsidR="00D36742" w:rsidRPr="0089261F" w:rsidRDefault="00D36742" w:rsidP="006D4AF5">
      <w:pPr>
        <w:pStyle w:val="a3"/>
        <w:jc w:val="both"/>
        <w:rPr>
          <w:i/>
          <w:sz w:val="26"/>
          <w:szCs w:val="26"/>
        </w:rPr>
      </w:pPr>
    </w:p>
    <w:p w:rsidR="00672541" w:rsidRPr="0089261F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89261F">
        <w:rPr>
          <w:sz w:val="26"/>
          <w:szCs w:val="26"/>
        </w:rPr>
        <w:t xml:space="preserve">В рамках проекта к финансированию развития цифровых технологий привлекают все возможные источники. В первую очередь это различные фонды и </w:t>
      </w:r>
      <w:r w:rsidRPr="0089261F">
        <w:rPr>
          <w:spacing w:val="-2"/>
          <w:sz w:val="26"/>
          <w:szCs w:val="26"/>
        </w:rPr>
        <w:t>госпрограммы.</w:t>
      </w:r>
    </w:p>
    <w:p w:rsidR="00672541" w:rsidRPr="0089261F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89261F">
        <w:rPr>
          <w:sz w:val="26"/>
          <w:szCs w:val="26"/>
        </w:rPr>
        <w:t>Фонд содействия инновациям (</w:t>
      </w:r>
      <w:hyperlink r:id="rId5">
        <w:r w:rsidRPr="0089261F">
          <w:rPr>
            <w:sz w:val="26"/>
            <w:szCs w:val="26"/>
            <w:u w:val="single" w:color="000000"/>
          </w:rPr>
          <w:t>ФСИ</w:t>
        </w:r>
      </w:hyperlink>
      <w:r w:rsidRPr="0089261F">
        <w:rPr>
          <w:sz w:val="26"/>
          <w:szCs w:val="26"/>
        </w:rPr>
        <w:t>). Он предлагает поучаствовать в конкурсах на гранты:</w:t>
      </w:r>
    </w:p>
    <w:p w:rsidR="00672541" w:rsidRPr="0089261F" w:rsidRDefault="00D36742" w:rsidP="006D4AF5">
      <w:pPr>
        <w:pStyle w:val="a3"/>
        <w:ind w:firstLine="720"/>
        <w:jc w:val="both"/>
        <w:rPr>
          <w:spacing w:val="-2"/>
          <w:sz w:val="26"/>
          <w:szCs w:val="26"/>
        </w:rPr>
      </w:pPr>
      <w:r w:rsidRPr="0089261F">
        <w:rPr>
          <w:sz w:val="26"/>
          <w:szCs w:val="26"/>
        </w:rPr>
        <w:t xml:space="preserve">«Старт-ЦТ». Позволяет малому IT-бизнесу получить до 4 млн рублей на зарплаты, сырьё, комплектующие и услуги, необходимые для разработки </w:t>
      </w:r>
      <w:r w:rsidRPr="0089261F">
        <w:rPr>
          <w:spacing w:val="-2"/>
          <w:sz w:val="26"/>
          <w:szCs w:val="26"/>
        </w:rPr>
        <w:t>продукта.</w:t>
      </w:r>
    </w:p>
    <w:p w:rsidR="00672541" w:rsidRPr="0089261F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89261F">
        <w:rPr>
          <w:sz w:val="26"/>
          <w:szCs w:val="26"/>
        </w:rPr>
        <w:t>«Старт-ИИ». Осуществляет поддержку перспективных российских разработчиков и технологий, имитирующих когнитивные способности человека. Выделяет до 4 млн рублей на разработку.</w:t>
      </w:r>
    </w:p>
    <w:p w:rsidR="00672541" w:rsidRPr="0089261F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89261F">
        <w:rPr>
          <w:sz w:val="26"/>
          <w:szCs w:val="26"/>
        </w:rPr>
        <w:t xml:space="preserve">Инновационный центр «Сколково». Помогает получить поддержку российскому IT виде </w:t>
      </w:r>
      <w:hyperlink r:id="rId6" w:anchor="h2-1">
        <w:r w:rsidRPr="0089261F">
          <w:rPr>
            <w:sz w:val="26"/>
            <w:szCs w:val="26"/>
            <w:u w:val="single" w:color="000000"/>
          </w:rPr>
          <w:t>грантов на инновационные проекты</w:t>
        </w:r>
      </w:hyperlink>
      <w:r w:rsidRPr="0089261F">
        <w:rPr>
          <w:sz w:val="26"/>
          <w:szCs w:val="26"/>
        </w:rPr>
        <w:t>. Это могут быть:</w:t>
      </w:r>
    </w:p>
    <w:p w:rsidR="00672541" w:rsidRDefault="00D36742" w:rsidP="006D4AF5">
      <w:pPr>
        <w:pStyle w:val="a3"/>
        <w:jc w:val="both"/>
        <w:rPr>
          <w:sz w:val="26"/>
          <w:szCs w:val="26"/>
        </w:rPr>
      </w:pPr>
      <w:r w:rsidRPr="0089261F">
        <w:rPr>
          <w:sz w:val="26"/>
          <w:szCs w:val="26"/>
        </w:rPr>
        <w:t>микрогранты на сумму до 4 млн рублей в год — предоставляются для финансирования отдельных инициатив, например испытаний продукта или участия в выставках;</w:t>
      </w:r>
      <w:r w:rsidR="006D4AF5">
        <w:rPr>
          <w:sz w:val="26"/>
          <w:szCs w:val="26"/>
        </w:rPr>
        <w:t xml:space="preserve"> </w:t>
      </w:r>
      <w:r w:rsidRPr="0089261F">
        <w:rPr>
          <w:sz w:val="26"/>
          <w:szCs w:val="26"/>
        </w:rPr>
        <w:t>мини-гранты на сумму до 7 млн рублей разово — на зарплаты сотрудникам, сырьё для тестовых образцов, оформление интеллектуальной собственности и другие нужды.</w:t>
      </w:r>
      <w:r w:rsidR="006D4AF5">
        <w:rPr>
          <w:sz w:val="26"/>
          <w:szCs w:val="26"/>
        </w:rPr>
        <w:t xml:space="preserve"> </w:t>
      </w:r>
      <w:r w:rsidRPr="0089261F">
        <w:rPr>
          <w:sz w:val="26"/>
          <w:szCs w:val="26"/>
        </w:rPr>
        <w:t xml:space="preserve">Получить грант «Сколково» могут только его резиденты. Стоит учесть, что на </w:t>
      </w:r>
      <w:hyperlink r:id="rId7">
        <w:r w:rsidRPr="0089261F">
          <w:rPr>
            <w:sz w:val="26"/>
            <w:szCs w:val="26"/>
            <w:u w:val="single" w:color="000000"/>
          </w:rPr>
          <w:t>оформление резидентства</w:t>
        </w:r>
      </w:hyperlink>
      <w:r w:rsidRPr="0089261F">
        <w:rPr>
          <w:sz w:val="26"/>
          <w:szCs w:val="26"/>
        </w:rPr>
        <w:t xml:space="preserve"> уходит до нескольких месяцев.</w:t>
      </w:r>
    </w:p>
    <w:p w:rsidR="00672541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89261F">
        <w:rPr>
          <w:sz w:val="26"/>
          <w:szCs w:val="26"/>
        </w:rPr>
        <w:t xml:space="preserve">Фонд развития интернет-инициатив (ФРИИ). Предлагает поучаствовать в бесплатной программе ускоренного развития бизнеса </w:t>
      </w:r>
      <w:hyperlink r:id="rId8">
        <w:r w:rsidRPr="0089261F">
          <w:rPr>
            <w:sz w:val="26"/>
            <w:szCs w:val="26"/>
            <w:u w:val="single" w:color="000000"/>
          </w:rPr>
          <w:t>«АкселераторСпринт»</w:t>
        </w:r>
      </w:hyperlink>
      <w:r w:rsidRPr="0089261F">
        <w:rPr>
          <w:sz w:val="26"/>
          <w:szCs w:val="26"/>
        </w:rPr>
        <w:t>, рассчитанной на 12 недель. «Акселератор» оказывает значительную поддержку стартапами давно существующим малым организациям,</w:t>
      </w:r>
      <w:r w:rsidR="008277DD" w:rsidRPr="0089261F">
        <w:rPr>
          <w:sz w:val="26"/>
          <w:szCs w:val="26"/>
        </w:rPr>
        <w:t xml:space="preserve"> </w:t>
      </w:r>
      <w:r w:rsidRPr="0089261F">
        <w:rPr>
          <w:sz w:val="26"/>
          <w:szCs w:val="26"/>
        </w:rPr>
        <w:t>нацеленным</w:t>
      </w:r>
      <w:r w:rsidR="008277DD" w:rsidRPr="0089261F">
        <w:rPr>
          <w:sz w:val="26"/>
          <w:szCs w:val="26"/>
        </w:rPr>
        <w:t xml:space="preserve"> </w:t>
      </w:r>
      <w:r w:rsidRPr="0089261F">
        <w:rPr>
          <w:sz w:val="26"/>
          <w:szCs w:val="26"/>
        </w:rPr>
        <w:t>на</w:t>
      </w:r>
      <w:r w:rsidR="008277DD" w:rsidRPr="0089261F">
        <w:rPr>
          <w:sz w:val="26"/>
          <w:szCs w:val="26"/>
        </w:rPr>
        <w:t xml:space="preserve"> </w:t>
      </w:r>
      <w:r w:rsidRPr="0089261F">
        <w:rPr>
          <w:sz w:val="26"/>
          <w:szCs w:val="26"/>
        </w:rPr>
        <w:t>серьёзный рывок в развитии. За время спринта эксперты фонда помогают:</w:t>
      </w:r>
    </w:p>
    <w:p w:rsidR="00672541" w:rsidRDefault="0089261F" w:rsidP="006D4AF5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D36742" w:rsidRPr="0089261F">
        <w:rPr>
          <w:sz w:val="26"/>
          <w:szCs w:val="26"/>
        </w:rPr>
        <w:t>силить</w:t>
      </w:r>
      <w:r>
        <w:rPr>
          <w:sz w:val="26"/>
          <w:szCs w:val="26"/>
        </w:rPr>
        <w:t xml:space="preserve"> </w:t>
      </w:r>
      <w:r w:rsidR="00D36742" w:rsidRPr="0089261F">
        <w:rPr>
          <w:sz w:val="26"/>
          <w:szCs w:val="26"/>
        </w:rPr>
        <w:t>предпринимательские</w:t>
      </w:r>
      <w:r>
        <w:rPr>
          <w:sz w:val="26"/>
          <w:szCs w:val="26"/>
        </w:rPr>
        <w:t xml:space="preserve"> </w:t>
      </w:r>
      <w:r w:rsidR="00D36742" w:rsidRPr="0089261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D36742" w:rsidRPr="0089261F">
        <w:rPr>
          <w:sz w:val="26"/>
          <w:szCs w:val="26"/>
        </w:rPr>
        <w:t>профессиональные</w:t>
      </w:r>
      <w:r>
        <w:rPr>
          <w:sz w:val="26"/>
          <w:szCs w:val="26"/>
        </w:rPr>
        <w:t xml:space="preserve"> </w:t>
      </w:r>
      <w:r w:rsidR="00D36742" w:rsidRPr="0089261F">
        <w:rPr>
          <w:sz w:val="26"/>
          <w:szCs w:val="26"/>
        </w:rPr>
        <w:t>компетенции</w:t>
      </w:r>
      <w:r>
        <w:rPr>
          <w:sz w:val="26"/>
          <w:szCs w:val="26"/>
        </w:rPr>
        <w:t xml:space="preserve"> </w:t>
      </w:r>
      <w:r w:rsidR="00D36742" w:rsidRPr="0089261F">
        <w:rPr>
          <w:sz w:val="26"/>
          <w:szCs w:val="26"/>
        </w:rPr>
        <w:t>лидера</w:t>
      </w:r>
      <w:r>
        <w:rPr>
          <w:sz w:val="26"/>
          <w:szCs w:val="26"/>
        </w:rPr>
        <w:t xml:space="preserve"> </w:t>
      </w:r>
      <w:r w:rsidR="00D36742" w:rsidRPr="0089261F">
        <w:rPr>
          <w:sz w:val="26"/>
          <w:szCs w:val="26"/>
        </w:rPr>
        <w:t>и</w:t>
      </w:r>
      <w:r w:rsidR="00D36742" w:rsidRPr="00D36742">
        <w:rPr>
          <w:sz w:val="26"/>
          <w:szCs w:val="26"/>
        </w:rPr>
        <w:t xml:space="preserve"> команды проекта;</w:t>
      </w:r>
    </w:p>
    <w:p w:rsidR="00672541" w:rsidRDefault="00D36742" w:rsidP="006D4AF5">
      <w:pPr>
        <w:pStyle w:val="a3"/>
        <w:ind w:firstLine="720"/>
        <w:jc w:val="both"/>
        <w:rPr>
          <w:spacing w:val="-2"/>
          <w:sz w:val="26"/>
          <w:szCs w:val="26"/>
        </w:rPr>
      </w:pPr>
      <w:r w:rsidRPr="00D36742">
        <w:rPr>
          <w:sz w:val="26"/>
          <w:szCs w:val="26"/>
        </w:rPr>
        <w:t>доработать</w:t>
      </w:r>
      <w:r w:rsidR="0089261F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технические</w:t>
      </w:r>
      <w:r w:rsidR="0089261F">
        <w:rPr>
          <w:sz w:val="26"/>
          <w:szCs w:val="26"/>
        </w:rPr>
        <w:t xml:space="preserve"> </w:t>
      </w:r>
      <w:r w:rsidRPr="00D36742">
        <w:rPr>
          <w:spacing w:val="-2"/>
          <w:sz w:val="26"/>
          <w:szCs w:val="26"/>
        </w:rPr>
        <w:t>решения;</w:t>
      </w:r>
    </w:p>
    <w:p w:rsidR="00672541" w:rsidRPr="00D36742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D36742">
        <w:rPr>
          <w:sz w:val="26"/>
          <w:szCs w:val="26"/>
        </w:rPr>
        <w:t>найти</w:t>
      </w:r>
      <w:r w:rsidR="0089261F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новые</w:t>
      </w:r>
      <w:r w:rsidR="0089261F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сегменты</w:t>
      </w:r>
      <w:r w:rsidR="0089261F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клиентов</w:t>
      </w:r>
      <w:r w:rsidR="0089261F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и</w:t>
      </w:r>
      <w:r w:rsidR="0089261F">
        <w:rPr>
          <w:sz w:val="26"/>
          <w:szCs w:val="26"/>
        </w:rPr>
        <w:t xml:space="preserve"> </w:t>
      </w:r>
      <w:r w:rsidRPr="00D36742">
        <w:rPr>
          <w:spacing w:val="-2"/>
          <w:sz w:val="26"/>
          <w:szCs w:val="26"/>
        </w:rPr>
        <w:t>масштабироваться.</w:t>
      </w:r>
    </w:p>
    <w:p w:rsidR="00672541" w:rsidRPr="00D36742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D36742">
        <w:rPr>
          <w:sz w:val="26"/>
          <w:szCs w:val="26"/>
        </w:rPr>
        <w:t>Участники</w:t>
      </w:r>
      <w:r w:rsidR="006436C2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отмечают</w:t>
      </w:r>
      <w:r w:rsidR="006436C2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значительный</w:t>
      </w:r>
      <w:r w:rsidR="006436C2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рост</w:t>
      </w:r>
      <w:r w:rsidR="006436C2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продажи</w:t>
      </w:r>
      <w:r w:rsidR="006436C2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прибыли</w:t>
      </w:r>
      <w:r w:rsidR="006436C2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по</w:t>
      </w:r>
      <w:r w:rsidR="006436C2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итогам</w:t>
      </w:r>
      <w:r w:rsidR="006436C2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участия в проекте. Участвовать можно офлайн и онлайн, то есть существует возможность присоединиться и региональным бизнесам.</w:t>
      </w:r>
    </w:p>
    <w:p w:rsidR="00CB5835" w:rsidRDefault="00CB5835" w:rsidP="006D4AF5">
      <w:pPr>
        <w:pStyle w:val="a3"/>
        <w:jc w:val="both"/>
        <w:rPr>
          <w:color w:val="222223"/>
          <w:sz w:val="26"/>
          <w:szCs w:val="26"/>
        </w:rPr>
      </w:pPr>
    </w:p>
    <w:p w:rsidR="00672541" w:rsidRPr="006D4AF5" w:rsidRDefault="00D36742" w:rsidP="006D4AF5">
      <w:pPr>
        <w:pStyle w:val="a3"/>
        <w:ind w:firstLine="720"/>
        <w:jc w:val="both"/>
        <w:rPr>
          <w:i/>
          <w:sz w:val="26"/>
          <w:szCs w:val="26"/>
          <w:u w:val="single"/>
        </w:rPr>
      </w:pPr>
      <w:r w:rsidRPr="006D4AF5">
        <w:rPr>
          <w:i/>
          <w:color w:val="222223"/>
          <w:sz w:val="26"/>
          <w:szCs w:val="26"/>
          <w:u w:val="single"/>
        </w:rPr>
        <w:t>Другие</w:t>
      </w:r>
      <w:r w:rsidR="00CB5835" w:rsidRPr="006D4AF5">
        <w:rPr>
          <w:i/>
          <w:color w:val="222223"/>
          <w:sz w:val="26"/>
          <w:szCs w:val="26"/>
          <w:u w:val="single"/>
        </w:rPr>
        <w:t xml:space="preserve"> </w:t>
      </w:r>
      <w:r w:rsidRPr="006D4AF5">
        <w:rPr>
          <w:i/>
          <w:color w:val="222223"/>
          <w:sz w:val="26"/>
          <w:szCs w:val="26"/>
          <w:u w:val="single"/>
        </w:rPr>
        <w:t>меры</w:t>
      </w:r>
      <w:r w:rsidR="00CB5835" w:rsidRPr="006D4AF5">
        <w:rPr>
          <w:i/>
          <w:color w:val="222223"/>
          <w:sz w:val="26"/>
          <w:szCs w:val="26"/>
          <w:u w:val="single"/>
        </w:rPr>
        <w:t xml:space="preserve"> </w:t>
      </w:r>
      <w:r w:rsidRPr="006D4AF5">
        <w:rPr>
          <w:i/>
          <w:color w:val="222223"/>
          <w:sz w:val="26"/>
          <w:szCs w:val="26"/>
          <w:u w:val="single"/>
        </w:rPr>
        <w:t>поддержки</w:t>
      </w:r>
      <w:r w:rsidR="00CB5835" w:rsidRPr="006D4AF5">
        <w:rPr>
          <w:i/>
          <w:color w:val="222223"/>
          <w:sz w:val="26"/>
          <w:szCs w:val="26"/>
          <w:u w:val="single"/>
        </w:rPr>
        <w:t xml:space="preserve"> </w:t>
      </w:r>
      <w:r w:rsidRPr="006D4AF5">
        <w:rPr>
          <w:i/>
          <w:color w:val="222223"/>
          <w:sz w:val="26"/>
          <w:szCs w:val="26"/>
          <w:u w:val="single"/>
        </w:rPr>
        <w:t>отечественных</w:t>
      </w:r>
      <w:r w:rsidR="00CB5835" w:rsidRPr="006D4AF5">
        <w:rPr>
          <w:i/>
          <w:color w:val="222223"/>
          <w:sz w:val="26"/>
          <w:szCs w:val="26"/>
          <w:u w:val="single"/>
        </w:rPr>
        <w:t xml:space="preserve"> </w:t>
      </w:r>
      <w:r w:rsidRPr="006D4AF5">
        <w:rPr>
          <w:i/>
          <w:color w:val="222223"/>
          <w:sz w:val="26"/>
          <w:szCs w:val="26"/>
          <w:u w:val="single"/>
        </w:rPr>
        <w:t>IT-</w:t>
      </w:r>
      <w:r w:rsidRPr="006D4AF5">
        <w:rPr>
          <w:i/>
          <w:color w:val="222223"/>
          <w:spacing w:val="-2"/>
          <w:sz w:val="26"/>
          <w:szCs w:val="26"/>
          <w:u w:val="single"/>
        </w:rPr>
        <w:t>компаний</w:t>
      </w:r>
    </w:p>
    <w:p w:rsidR="00CB5835" w:rsidRDefault="00CB5835" w:rsidP="006D4AF5">
      <w:pPr>
        <w:pStyle w:val="a3"/>
        <w:jc w:val="both"/>
        <w:rPr>
          <w:sz w:val="26"/>
          <w:szCs w:val="26"/>
        </w:rPr>
      </w:pPr>
    </w:p>
    <w:p w:rsidR="006D4AF5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D36742">
        <w:rPr>
          <w:sz w:val="26"/>
          <w:szCs w:val="26"/>
        </w:rPr>
        <w:t>IT-сектору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помогают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не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только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материально,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но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и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в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привлечении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 xml:space="preserve">кадров, поиске заказов и другими способами. </w:t>
      </w:r>
    </w:p>
    <w:p w:rsidR="00672541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D36742">
        <w:rPr>
          <w:sz w:val="26"/>
          <w:szCs w:val="26"/>
        </w:rPr>
        <w:t>Развитию отрасли способствуют:</w:t>
      </w:r>
    </w:p>
    <w:p w:rsidR="00672541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D36742">
        <w:rPr>
          <w:sz w:val="26"/>
          <w:szCs w:val="26"/>
        </w:rPr>
        <w:t>Выгодные кредиты на бизнес. На проекты по разработке или внедрению отечественного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можно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получить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льготный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кредит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под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3%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годовых.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Для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этого не нужна даже IT-аккредитация.</w:t>
      </w:r>
    </w:p>
    <w:p w:rsidR="00CB5835" w:rsidRDefault="00CB5835" w:rsidP="006D4AF5">
      <w:pPr>
        <w:pStyle w:val="a3"/>
        <w:jc w:val="both"/>
        <w:rPr>
          <w:sz w:val="26"/>
          <w:szCs w:val="26"/>
        </w:rPr>
      </w:pPr>
    </w:p>
    <w:p w:rsidR="00672541" w:rsidRDefault="00D36742" w:rsidP="006D4AF5">
      <w:pPr>
        <w:pStyle w:val="a3"/>
        <w:ind w:firstLine="720"/>
        <w:jc w:val="both"/>
        <w:rPr>
          <w:spacing w:val="-2"/>
          <w:sz w:val="26"/>
          <w:szCs w:val="26"/>
        </w:rPr>
      </w:pPr>
      <w:r w:rsidRPr="00D36742">
        <w:rPr>
          <w:sz w:val="26"/>
          <w:szCs w:val="26"/>
        </w:rPr>
        <w:lastRenderedPageBreak/>
        <w:t>Ипотека для сотрудников на особых условиях. Для сотрудников аккредитованных IT-компаний она доступна под 5% годовых при ставке ЦБ 16%. Региональным властям разрешено снизить ставку ещё значительнее. Программа действует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до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конца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2024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года,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но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льготная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ставка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сохраняется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до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окончания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 xml:space="preserve">срока </w:t>
      </w:r>
      <w:r w:rsidRPr="00D36742">
        <w:rPr>
          <w:spacing w:val="-2"/>
          <w:sz w:val="26"/>
          <w:szCs w:val="26"/>
        </w:rPr>
        <w:t>выплат.</w:t>
      </w:r>
    </w:p>
    <w:p w:rsidR="00672541" w:rsidRPr="00D36742" w:rsidRDefault="00D36742" w:rsidP="006D4AF5">
      <w:pPr>
        <w:pStyle w:val="a3"/>
        <w:ind w:firstLine="720"/>
        <w:jc w:val="both"/>
        <w:rPr>
          <w:sz w:val="26"/>
          <w:szCs w:val="26"/>
        </w:rPr>
      </w:pPr>
      <w:r w:rsidRPr="00D36742">
        <w:rPr>
          <w:sz w:val="26"/>
          <w:szCs w:val="26"/>
        </w:rPr>
        <w:t>Упрощённый порядок оформления иностранных специалистов. Если для разработки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отечественного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будут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полезны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навыки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иностранного</w:t>
      </w:r>
      <w:r w:rsidR="00CB5835">
        <w:rPr>
          <w:sz w:val="26"/>
          <w:szCs w:val="26"/>
        </w:rPr>
        <w:t xml:space="preserve"> </w:t>
      </w:r>
      <w:r w:rsidRPr="00D36742">
        <w:rPr>
          <w:sz w:val="26"/>
          <w:szCs w:val="26"/>
        </w:rPr>
        <w:t>специалиста, для него можно не оформлять разрешение на работу или патент. Достаточно заключить трудовой договор или ГПХ. При этом специалист и члены его семьи получают бессрочный вид на жительство в России.</w:t>
      </w:r>
    </w:p>
    <w:p w:rsidR="00672541" w:rsidRPr="00CB5835" w:rsidRDefault="00CB5835" w:rsidP="006D4AF5">
      <w:pPr>
        <w:pStyle w:val="a3"/>
        <w:ind w:firstLine="720"/>
        <w:jc w:val="both"/>
        <w:rPr>
          <w:sz w:val="26"/>
          <w:szCs w:val="26"/>
        </w:rPr>
      </w:pPr>
      <w:r w:rsidRPr="00CB5835">
        <w:rPr>
          <w:sz w:val="26"/>
          <w:szCs w:val="26"/>
        </w:rPr>
        <w:t>П</w:t>
      </w:r>
      <w:r w:rsidR="00D36742" w:rsidRPr="00CB5835">
        <w:rPr>
          <w:sz w:val="26"/>
          <w:szCs w:val="26"/>
        </w:rPr>
        <w:t>реимущества</w:t>
      </w:r>
      <w:r w:rsidRPr="00CB5835">
        <w:rPr>
          <w:sz w:val="26"/>
          <w:szCs w:val="26"/>
        </w:rPr>
        <w:t xml:space="preserve"> </w:t>
      </w:r>
      <w:r w:rsidR="00D36742" w:rsidRPr="00CB5835">
        <w:rPr>
          <w:sz w:val="26"/>
          <w:szCs w:val="26"/>
        </w:rPr>
        <w:t>в</w:t>
      </w:r>
      <w:r w:rsidRPr="00CB5835">
        <w:rPr>
          <w:sz w:val="26"/>
          <w:szCs w:val="26"/>
        </w:rPr>
        <w:t xml:space="preserve"> </w:t>
      </w:r>
      <w:r w:rsidR="00D36742" w:rsidRPr="00CB5835">
        <w:rPr>
          <w:sz w:val="26"/>
          <w:szCs w:val="26"/>
        </w:rPr>
        <w:t>госзакупках.</w:t>
      </w:r>
      <w:r w:rsidRPr="00CB5835">
        <w:rPr>
          <w:sz w:val="26"/>
          <w:szCs w:val="26"/>
        </w:rPr>
        <w:t xml:space="preserve"> </w:t>
      </w:r>
      <w:r w:rsidR="00D36742" w:rsidRPr="00CB5835">
        <w:rPr>
          <w:sz w:val="26"/>
          <w:szCs w:val="26"/>
        </w:rPr>
        <w:t>Нацпроект</w:t>
      </w:r>
      <w:r w:rsidRPr="00CB5835">
        <w:rPr>
          <w:sz w:val="26"/>
          <w:szCs w:val="26"/>
        </w:rPr>
        <w:t xml:space="preserve"> </w:t>
      </w:r>
      <w:r w:rsidR="00D36742" w:rsidRPr="00CB5835">
        <w:rPr>
          <w:sz w:val="26"/>
          <w:szCs w:val="26"/>
        </w:rPr>
        <w:t>«Цифровая</w:t>
      </w:r>
      <w:r w:rsidRPr="00CB5835">
        <w:rPr>
          <w:sz w:val="26"/>
          <w:szCs w:val="26"/>
        </w:rPr>
        <w:t xml:space="preserve"> </w:t>
      </w:r>
      <w:r w:rsidR="00D36742" w:rsidRPr="00CB5835">
        <w:rPr>
          <w:sz w:val="26"/>
          <w:szCs w:val="26"/>
        </w:rPr>
        <w:t>экономика»</w:t>
      </w:r>
      <w:r w:rsidRPr="00CB5835">
        <w:rPr>
          <w:sz w:val="26"/>
          <w:szCs w:val="26"/>
        </w:rPr>
        <w:t xml:space="preserve"> </w:t>
      </w:r>
      <w:r w:rsidR="00D36742" w:rsidRPr="00CB5835">
        <w:rPr>
          <w:sz w:val="26"/>
          <w:szCs w:val="26"/>
        </w:rPr>
        <w:t>предполагает полный переход всех госструктур на отечественное ПО. Выбирать и приобретать можно ПО</w:t>
      </w:r>
      <w:r w:rsidRPr="00CB5835">
        <w:rPr>
          <w:sz w:val="26"/>
          <w:szCs w:val="26"/>
        </w:rPr>
        <w:t xml:space="preserve"> </w:t>
      </w:r>
      <w:hyperlink r:id="rId9">
        <w:r w:rsidR="00D36742" w:rsidRPr="00CB5835">
          <w:rPr>
            <w:sz w:val="26"/>
            <w:szCs w:val="26"/>
            <w:u w:val="single" w:color="000000"/>
          </w:rPr>
          <w:t>из единого реестра российских программ для ЭВМ и баз данных</w:t>
        </w:r>
      </w:hyperlink>
      <w:r w:rsidR="00D36742" w:rsidRPr="00CB5835">
        <w:rPr>
          <w:sz w:val="26"/>
          <w:szCs w:val="26"/>
        </w:rPr>
        <w:t xml:space="preserve">. То есть включение в реестр даёт продукту преимущество в поисках надёжного </w:t>
      </w:r>
      <w:r w:rsidR="00D36742" w:rsidRPr="00CB5835">
        <w:rPr>
          <w:spacing w:val="-2"/>
          <w:sz w:val="26"/>
          <w:szCs w:val="26"/>
        </w:rPr>
        <w:t>покупателя.</w:t>
      </w:r>
    </w:p>
    <w:sectPr w:rsidR="00672541" w:rsidRPr="00CB5835" w:rsidSect="00D36742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73999"/>
    <w:multiLevelType w:val="hybridMultilevel"/>
    <w:tmpl w:val="5D46B77C"/>
    <w:lvl w:ilvl="0" w:tplc="B4A4687C">
      <w:numFmt w:val="bullet"/>
      <w:lvlText w:val=""/>
      <w:lvlJc w:val="left"/>
      <w:pPr>
        <w:ind w:left="301" w:hanging="409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EC60DE34">
      <w:numFmt w:val="bullet"/>
      <w:lvlText w:val="•"/>
      <w:lvlJc w:val="left"/>
      <w:pPr>
        <w:ind w:left="1304" w:hanging="409"/>
      </w:pPr>
      <w:rPr>
        <w:rFonts w:hint="default"/>
        <w:lang w:val="ru-RU" w:eastAsia="en-US" w:bidi="ar-SA"/>
      </w:rPr>
    </w:lvl>
    <w:lvl w:ilvl="2" w:tplc="0B5C37E0">
      <w:numFmt w:val="bullet"/>
      <w:lvlText w:val="•"/>
      <w:lvlJc w:val="left"/>
      <w:pPr>
        <w:ind w:left="2309" w:hanging="409"/>
      </w:pPr>
      <w:rPr>
        <w:rFonts w:hint="default"/>
        <w:lang w:val="ru-RU" w:eastAsia="en-US" w:bidi="ar-SA"/>
      </w:rPr>
    </w:lvl>
    <w:lvl w:ilvl="3" w:tplc="E5D84E8C">
      <w:numFmt w:val="bullet"/>
      <w:lvlText w:val="•"/>
      <w:lvlJc w:val="left"/>
      <w:pPr>
        <w:ind w:left="3314" w:hanging="409"/>
      </w:pPr>
      <w:rPr>
        <w:rFonts w:hint="default"/>
        <w:lang w:val="ru-RU" w:eastAsia="en-US" w:bidi="ar-SA"/>
      </w:rPr>
    </w:lvl>
    <w:lvl w:ilvl="4" w:tplc="D97AAA2E">
      <w:numFmt w:val="bullet"/>
      <w:lvlText w:val="•"/>
      <w:lvlJc w:val="left"/>
      <w:pPr>
        <w:ind w:left="4319" w:hanging="409"/>
      </w:pPr>
      <w:rPr>
        <w:rFonts w:hint="default"/>
        <w:lang w:val="ru-RU" w:eastAsia="en-US" w:bidi="ar-SA"/>
      </w:rPr>
    </w:lvl>
    <w:lvl w:ilvl="5" w:tplc="4BF2D0C8">
      <w:numFmt w:val="bullet"/>
      <w:lvlText w:val="•"/>
      <w:lvlJc w:val="left"/>
      <w:pPr>
        <w:ind w:left="5324" w:hanging="409"/>
      </w:pPr>
      <w:rPr>
        <w:rFonts w:hint="default"/>
        <w:lang w:val="ru-RU" w:eastAsia="en-US" w:bidi="ar-SA"/>
      </w:rPr>
    </w:lvl>
    <w:lvl w:ilvl="6" w:tplc="22162AC6">
      <w:numFmt w:val="bullet"/>
      <w:lvlText w:val="•"/>
      <w:lvlJc w:val="left"/>
      <w:pPr>
        <w:ind w:left="6328" w:hanging="409"/>
      </w:pPr>
      <w:rPr>
        <w:rFonts w:hint="default"/>
        <w:lang w:val="ru-RU" w:eastAsia="en-US" w:bidi="ar-SA"/>
      </w:rPr>
    </w:lvl>
    <w:lvl w:ilvl="7" w:tplc="60840E42">
      <w:numFmt w:val="bullet"/>
      <w:lvlText w:val="•"/>
      <w:lvlJc w:val="left"/>
      <w:pPr>
        <w:ind w:left="7333" w:hanging="409"/>
      </w:pPr>
      <w:rPr>
        <w:rFonts w:hint="default"/>
        <w:lang w:val="ru-RU" w:eastAsia="en-US" w:bidi="ar-SA"/>
      </w:rPr>
    </w:lvl>
    <w:lvl w:ilvl="8" w:tplc="73064A22">
      <w:numFmt w:val="bullet"/>
      <w:lvlText w:val="•"/>
      <w:lvlJc w:val="left"/>
      <w:pPr>
        <w:ind w:left="8338" w:hanging="4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72541"/>
    <w:rsid w:val="003B74E5"/>
    <w:rsid w:val="006436C2"/>
    <w:rsid w:val="00672541"/>
    <w:rsid w:val="006D4AF5"/>
    <w:rsid w:val="008277DD"/>
    <w:rsid w:val="008367D0"/>
    <w:rsid w:val="0089261F"/>
    <w:rsid w:val="0090446C"/>
    <w:rsid w:val="00CB5835"/>
    <w:rsid w:val="00D36742"/>
    <w:rsid w:val="00FF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5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54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2541"/>
    <w:pPr>
      <w:ind w:right="22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2541"/>
    <w:pPr>
      <w:spacing w:before="149"/>
      <w:ind w:left="301"/>
    </w:pPr>
  </w:style>
  <w:style w:type="paragraph" w:customStyle="1" w:styleId="TableParagraph">
    <w:name w:val="Table Paragraph"/>
    <w:basedOn w:val="a"/>
    <w:uiPriority w:val="1"/>
    <w:qFormat/>
    <w:rsid w:val="006725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opportunities/dlya-it-predprinimateley-uskorenno-razvit-biz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kovo-resident.ru/kak-stat-rezidentom-skol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kovo-resident.ru/granti-v-skolko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fasie.ru/m/?utm_source=RBC_Spec&amp;utm_medium=Statica&amp;utm_content=All&amp;utm_campaign=np_tsifrovaya-ekonomika_artic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estr.digital.gov.ru/reestr/?roistat_visit=2706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Сулоева</dc:creator>
  <cp:lastModifiedBy>suloeva.elena</cp:lastModifiedBy>
  <cp:revision>3</cp:revision>
  <dcterms:created xsi:type="dcterms:W3CDTF">2024-12-26T09:29:00Z</dcterms:created>
  <dcterms:modified xsi:type="dcterms:W3CDTF">2024-12-26T09:42:00Z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2024-12-26T00:00:00Z</vt:filetime>
  </property>
  <property fmtid="{D5CDD505-2E9C-101B-9397-08002B2CF9AE}" pid="5" name="Producer">
    <vt:lpwstr>Aspose.PDF for .NET 22.5.0</vt:lpwstr>
  </property>
</Properties>
</file>