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РОССИЙСКАЯ ФЕДЕРАЦИЯ</w:t>
      </w: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ФЕДЕРАЛЬНЫЙ ЗАКОН</w:t>
      </w: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О ПОРЯДКЕ РАССМОТРЕНИЯ ОБРАЩЕНИЙ</w:t>
      </w:r>
    </w:p>
    <w:p w:rsidR="00892250" w:rsidRPr="00892250" w:rsidRDefault="00892250" w:rsidP="00892250">
      <w:pPr>
        <w:widowControl w:val="0"/>
        <w:autoSpaceDE w:val="0"/>
        <w:autoSpaceDN w:val="0"/>
        <w:adjustRightInd w:val="0"/>
        <w:rPr>
          <w:rFonts w:ascii="PT Astra Serif" w:eastAsiaTheme="minorEastAsia" w:hAnsi="PT Astra Serif" w:cs="Arial"/>
          <w:b/>
          <w:bCs/>
          <w:color w:val="auto"/>
          <w:sz w:val="24"/>
          <w:szCs w:val="24"/>
          <w:lang w:eastAsia="ru-RU"/>
        </w:rPr>
      </w:pPr>
      <w:r w:rsidRPr="00892250">
        <w:rPr>
          <w:rFonts w:ascii="PT Astra Serif" w:eastAsiaTheme="minorEastAsia" w:hAnsi="PT Astra Serif" w:cs="Arial"/>
          <w:b/>
          <w:bCs/>
          <w:color w:val="auto"/>
          <w:sz w:val="24"/>
          <w:szCs w:val="24"/>
          <w:lang w:eastAsia="ru-RU"/>
        </w:rPr>
        <w:t xml:space="preserve">ГРАЖДАН </w:t>
      </w:r>
      <w:bookmarkStart w:id="0" w:name="_GoBack"/>
      <w:bookmarkEnd w:id="0"/>
      <w:r w:rsidRPr="00892250">
        <w:rPr>
          <w:rFonts w:ascii="PT Astra Serif" w:eastAsiaTheme="minorEastAsia" w:hAnsi="PT Astra Serif" w:cs="Arial"/>
          <w:b/>
          <w:bCs/>
          <w:color w:val="auto"/>
          <w:sz w:val="24"/>
          <w:szCs w:val="24"/>
          <w:lang w:eastAsia="ru-RU"/>
        </w:rPr>
        <w:t>РОССИЙСКОЙ ФЕДЕРАЦИИ</w:t>
      </w:r>
    </w:p>
    <w:p w:rsidR="00892250" w:rsidRPr="00892250" w:rsidRDefault="00892250" w:rsidP="00892250">
      <w:pPr>
        <w:widowControl w:val="0"/>
        <w:autoSpaceDE w:val="0"/>
        <w:autoSpaceDN w:val="0"/>
        <w:adjustRightInd w:val="0"/>
        <w:ind w:firstLine="540"/>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Принят</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Государственной Думой</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21 апреля 2006 года</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Одобрен</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Советом Федерации</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26 апреля 2006 года</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(в ред</w:t>
      </w:r>
      <w:r w:rsidR="009119D9" w:rsidRPr="009119D9">
        <w:rPr>
          <w:rFonts w:ascii="PT Astra Serif" w:eastAsiaTheme="minorEastAsia" w:hAnsi="PT Astra Serif" w:cs="Times New Roman"/>
          <w:i/>
          <w:color w:val="000000" w:themeColor="text1"/>
          <w:sz w:val="24"/>
          <w:szCs w:val="24"/>
          <w:lang w:eastAsia="ru-RU"/>
        </w:rPr>
        <w:t>акции</w:t>
      </w:r>
      <w:r w:rsidRPr="009119D9">
        <w:rPr>
          <w:rFonts w:ascii="PT Astra Serif" w:eastAsiaTheme="minorEastAsia" w:hAnsi="PT Astra Serif" w:cs="Times New Roman"/>
          <w:i/>
          <w:color w:val="000000" w:themeColor="text1"/>
          <w:sz w:val="24"/>
          <w:szCs w:val="24"/>
          <w:lang w:eastAsia="ru-RU"/>
        </w:rPr>
        <w:t xml:space="preserve"> Федеральных законов от 29.06.2010 N 126-ФЗ,</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 xml:space="preserve">от 27.07.2010 N 227-ФЗ, от 07.05.2013 </w:t>
      </w:r>
      <w:hyperlink r:id="rId7" w:history="1">
        <w:r w:rsidRPr="009119D9">
          <w:rPr>
            <w:rFonts w:ascii="PT Astra Serif" w:eastAsiaTheme="minorEastAsia" w:hAnsi="PT Astra Serif" w:cs="Times New Roman"/>
            <w:i/>
            <w:color w:val="000000" w:themeColor="text1"/>
            <w:sz w:val="24"/>
            <w:szCs w:val="24"/>
            <w:lang w:eastAsia="ru-RU"/>
          </w:rPr>
          <w:t>N 80-ФЗ</w:t>
        </w:r>
      </w:hyperlink>
      <w:r w:rsidRPr="009119D9">
        <w:rPr>
          <w:rFonts w:ascii="PT Astra Serif" w:eastAsiaTheme="minorEastAsia" w:hAnsi="PT Astra Serif" w:cs="Times New Roman"/>
          <w:i/>
          <w:color w:val="000000" w:themeColor="text1"/>
          <w:sz w:val="24"/>
          <w:szCs w:val="24"/>
          <w:lang w:eastAsia="ru-RU"/>
        </w:rPr>
        <w:t xml:space="preserve">, от 02.07.2013 </w:t>
      </w:r>
      <w:hyperlink r:id="rId8" w:history="1">
        <w:r w:rsidRPr="009119D9">
          <w:rPr>
            <w:rFonts w:ascii="PT Astra Serif" w:eastAsiaTheme="minorEastAsia" w:hAnsi="PT Astra Serif" w:cs="Times New Roman"/>
            <w:i/>
            <w:color w:val="000000" w:themeColor="text1"/>
            <w:sz w:val="24"/>
            <w:szCs w:val="24"/>
            <w:lang w:eastAsia="ru-RU"/>
          </w:rPr>
          <w:t>N 182-ФЗ</w:t>
        </w:r>
      </w:hyperlink>
      <w:r w:rsidRPr="009119D9">
        <w:rPr>
          <w:rFonts w:ascii="PT Astra Serif" w:eastAsiaTheme="minorEastAsia" w:hAnsi="PT Astra Serif" w:cs="Times New Roman"/>
          <w:i/>
          <w:color w:val="000000" w:themeColor="text1"/>
          <w:sz w:val="24"/>
          <w:szCs w:val="24"/>
          <w:lang w:eastAsia="ru-RU"/>
        </w:rPr>
        <w:t>,</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от 24.11.2014 N 357-ФЗ, от 03.11.2015 N 305-ФЗ, от 27.11.2017 N 355-ФЗ,</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от 27.12.2018 N 528-ФЗ, от 04.08.2023 N 480-ФЗ,</w:t>
      </w:r>
    </w:p>
    <w:p w:rsidR="00892250" w:rsidRPr="009119D9" w:rsidRDefault="00892250" w:rsidP="00892250">
      <w:pPr>
        <w:widowControl w:val="0"/>
        <w:autoSpaceDE w:val="0"/>
        <w:autoSpaceDN w:val="0"/>
        <w:adjustRightInd w:val="0"/>
        <w:rPr>
          <w:rFonts w:ascii="PT Astra Serif" w:eastAsiaTheme="minorEastAsia" w:hAnsi="PT Astra Serif" w:cs="Times New Roman"/>
          <w:i/>
          <w:color w:val="000000" w:themeColor="text1"/>
          <w:sz w:val="24"/>
          <w:szCs w:val="24"/>
          <w:lang w:eastAsia="ru-RU"/>
        </w:rPr>
      </w:pPr>
      <w:r w:rsidRPr="009119D9">
        <w:rPr>
          <w:rFonts w:ascii="PT Astra Serif" w:eastAsiaTheme="minorEastAsia" w:hAnsi="PT Astra Serif" w:cs="Times New Roman"/>
          <w:i/>
          <w:color w:val="000000" w:themeColor="text1"/>
          <w:sz w:val="24"/>
          <w:szCs w:val="24"/>
          <w:lang w:eastAsia="ru-RU"/>
        </w:rPr>
        <w:t>с изм., внесенными Постановлением Конституционного Суда РФ от 18.07.2012 N 19-П)</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 Сфера применения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2. Право граждан на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lastRenderedPageBreak/>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Рассмотрение обращений граждан осуществляется бесплатно.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3. Правовое регулирование правоотношений, связанных с рассмотрением обращений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 xml:space="preserve">1. Правоотношения, связанные с рассмотрением обращений граждан, регулируются </w:t>
      </w:r>
      <w:r w:rsidRPr="00892250">
        <w:rPr>
          <w:rFonts w:ascii="PT Astra Serif" w:eastAsiaTheme="minorEastAsia" w:hAnsi="PT Astra Serif" w:cs="Times New Roman"/>
          <w:color w:val="000000" w:themeColor="text1"/>
          <w:sz w:val="24"/>
          <w:szCs w:val="24"/>
          <w:lang w:eastAsia="ru-RU"/>
        </w:rPr>
        <w:t xml:space="preserve">Конституцией </w:t>
      </w:r>
      <w:r w:rsidRPr="00892250">
        <w:rPr>
          <w:rFonts w:ascii="PT Astra Serif" w:eastAsiaTheme="minorEastAsia" w:hAnsi="PT Astra Serif" w:cs="Times New Roman"/>
          <w:color w:val="auto"/>
          <w:sz w:val="24"/>
          <w:szCs w:val="24"/>
          <w:lang w:eastAsia="ru-RU"/>
        </w:rPr>
        <w:t>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4. Основные термины, используемые в настоящем Федеральном законе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Для целей настоящего Федерального закона используются следующие основные термины:</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предложение, заявление или жалоба, а также устное обращение гражданина в государственный орган, орган местного самоуправления;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5. Права гражданина при рассмотрении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auto"/>
          <w:sz w:val="24"/>
          <w:szCs w:val="24"/>
          <w:lang w:eastAsia="ru-RU"/>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r w:rsidRPr="00892250">
        <w:rPr>
          <w:rFonts w:ascii="PT Astra Serif" w:eastAsiaTheme="minorEastAsia" w:hAnsi="PT Astra Serif" w:cs="Times New Roman"/>
          <w:color w:val="000000" w:themeColor="text1"/>
          <w:sz w:val="24"/>
          <w:szCs w:val="24"/>
          <w:lang w:eastAsia="ru-RU"/>
        </w:rPr>
        <w:t>законом тайну;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lastRenderedPageBreak/>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обращаться с заявлением о прекращении рассмотрения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6. Гарантии безопасности гражданина в связи с его обращением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1" w:name="Par70"/>
      <w:bookmarkEnd w:id="1"/>
      <w:r w:rsidRPr="00892250">
        <w:rPr>
          <w:rFonts w:ascii="PT Astra Serif" w:eastAsiaTheme="minorEastAsia" w:hAnsi="PT Astra Serif" w:cs="Times New Roman"/>
          <w:color w:val="000000" w:themeColor="text1"/>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Arial"/>
          <w:b/>
          <w:bCs/>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7. Требования к письменному обращению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 в которые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В случае необходимости в подтверждение своих доводов гражданин прилагает к обращению в письменной форме документы и материалы либо их копии.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w:t>
      </w:r>
      <w:r w:rsidRPr="00892250">
        <w:rPr>
          <w:rFonts w:ascii="PT Astra Serif" w:eastAsiaTheme="minorEastAsia" w:hAnsi="PT Astra Serif" w:cs="Times New Roman"/>
          <w:color w:val="auto"/>
          <w:sz w:val="24"/>
          <w:szCs w:val="24"/>
          <w:lang w:eastAsia="ru-RU"/>
        </w:rPr>
        <w:t>установленном настоящим Федеральным законом. В обращении гражданин в обязательном порядке указывает свои фамилию, имя, отчество (последнее - при наличии), а также указывает адрес электронной почты либо использует адрес (уникальный идентификатор) личного кабинета на Едином портале, по которым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bookmarkStart w:id="2" w:name="Par81"/>
      <w:bookmarkEnd w:id="2"/>
      <w:r w:rsidRPr="00892250">
        <w:rPr>
          <w:rFonts w:ascii="PT Astra Serif" w:eastAsiaTheme="minorEastAsia" w:hAnsi="PT Astra Serif" w:cs="Times New Roman"/>
          <w:b/>
          <w:color w:val="auto"/>
          <w:sz w:val="24"/>
          <w:szCs w:val="24"/>
          <w:lang w:eastAsia="ru-RU"/>
        </w:rPr>
        <w:t>Статья 8. Направление и регистрация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auto"/>
          <w:sz w:val="24"/>
          <w:szCs w:val="24"/>
          <w:lang w:eastAsia="ru-RU"/>
        </w:rPr>
        <w:t xml:space="preserve">3. Письменное обращение, содержащее вопросы, решение которых не входит в </w:t>
      </w:r>
      <w:r w:rsidRPr="00892250">
        <w:rPr>
          <w:rFonts w:ascii="PT Astra Serif" w:eastAsiaTheme="minorEastAsia" w:hAnsi="PT Astra Serif" w:cs="Times New Roman"/>
          <w:color w:val="auto"/>
          <w:sz w:val="24"/>
          <w:szCs w:val="24"/>
          <w:lang w:eastAsia="ru-RU"/>
        </w:rPr>
        <w:lastRenderedPageBreak/>
        <w:t xml:space="preserve">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w:t>
      </w:r>
      <w:r w:rsidRPr="00892250">
        <w:rPr>
          <w:rFonts w:ascii="PT Astra Serif" w:eastAsiaTheme="minorEastAsia" w:hAnsi="PT Astra Serif" w:cs="Times New Roman"/>
          <w:color w:val="000000" w:themeColor="text1"/>
          <w:sz w:val="24"/>
          <w:szCs w:val="24"/>
          <w:lang w:eastAsia="ru-RU"/>
        </w:rPr>
        <w:t>обращения, за исключением случая, указанного в части 4 статьи 11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3" w:name="Par90"/>
      <w:bookmarkEnd w:id="3"/>
      <w:r w:rsidRPr="00892250">
        <w:rPr>
          <w:rFonts w:ascii="PT Astra Serif" w:eastAsiaTheme="minorEastAsia" w:hAnsi="PT Astra Serif" w:cs="Times New Roman"/>
          <w:color w:val="000000" w:themeColor="text1"/>
          <w:sz w:val="24"/>
          <w:szCs w:val="24"/>
          <w:lang w:eastAsia="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9. Обязательность принятия обращения к рассмотрению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bookmarkStart w:id="4" w:name="Par98"/>
      <w:bookmarkEnd w:id="4"/>
      <w:r w:rsidRPr="00892250">
        <w:rPr>
          <w:rFonts w:ascii="PT Astra Serif" w:eastAsiaTheme="minorEastAsia" w:hAnsi="PT Astra Serif" w:cs="Times New Roman"/>
          <w:b/>
          <w:color w:val="auto"/>
          <w:sz w:val="24"/>
          <w:szCs w:val="24"/>
          <w:lang w:eastAsia="ru-RU"/>
        </w:rPr>
        <w:t>Статья 10. Рассмотрение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Государственный орган, орган местного самоуправления или должностное лицо:</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lastRenderedPageBreak/>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5" w:name="Par107"/>
      <w:bookmarkEnd w:id="5"/>
      <w:r w:rsidRPr="00892250">
        <w:rPr>
          <w:rFonts w:ascii="PT Astra Serif" w:eastAsiaTheme="minorEastAsia" w:hAnsi="PT Astra Serif" w:cs="Times New Roman"/>
          <w:color w:val="000000" w:themeColor="text1"/>
          <w:sz w:val="24"/>
          <w:szCs w:val="24"/>
          <w:lang w:eastAsia="ru-RU"/>
        </w:rPr>
        <w:t>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6" w:name="Par109"/>
      <w:bookmarkEnd w:id="6"/>
      <w:r w:rsidRPr="00892250">
        <w:rPr>
          <w:rFonts w:ascii="PT Astra Serif" w:eastAsiaTheme="minorEastAsia" w:hAnsi="PT Astra Serif" w:cs="Times New Roman"/>
          <w:color w:val="000000" w:themeColor="text1"/>
          <w:sz w:val="24"/>
          <w:szCs w:val="24"/>
          <w:lang w:eastAsia="ru-RU"/>
        </w:rPr>
        <w:t>4.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11. Порядок рассмотрения отдельных обращений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r w:rsidRPr="00892250">
        <w:rPr>
          <w:rFonts w:ascii="PT Astra Serif" w:eastAsiaTheme="minorEastAsia" w:hAnsi="PT Astra Serif" w:cs="Times New Roman"/>
          <w:color w:val="000000" w:themeColor="text1"/>
          <w:sz w:val="24"/>
          <w:szCs w:val="24"/>
          <w:lang w:eastAsia="ru-RU"/>
        </w:rPr>
        <w:t>порядка</w:t>
      </w:r>
      <w:r w:rsidRPr="00892250">
        <w:rPr>
          <w:rFonts w:ascii="PT Astra Serif" w:eastAsiaTheme="minorEastAsia" w:hAnsi="PT Astra Serif" w:cs="Times New Roman"/>
          <w:color w:val="auto"/>
          <w:sz w:val="24"/>
          <w:szCs w:val="24"/>
          <w:lang w:eastAsia="ru-RU"/>
        </w:rPr>
        <w:t xml:space="preserve"> обжалования данного судебного решения.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bookmarkStart w:id="7" w:name="Par119"/>
      <w:bookmarkEnd w:id="7"/>
      <w:r w:rsidRPr="00892250">
        <w:rPr>
          <w:rFonts w:ascii="PT Astra Serif" w:eastAsiaTheme="minorEastAsia" w:hAnsi="PT Astra Serif" w:cs="Times New Roman"/>
          <w:color w:val="auto"/>
          <w:sz w:val="24"/>
          <w:szCs w:val="24"/>
          <w:lang w:eastAsia="ru-RU"/>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 xml:space="preserve">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w:t>
      </w:r>
      <w:r w:rsidRPr="00892250">
        <w:rPr>
          <w:rFonts w:ascii="PT Astra Serif" w:eastAsiaTheme="minorEastAsia" w:hAnsi="PT Astra Serif" w:cs="Times New Roman"/>
          <w:color w:val="auto"/>
          <w:sz w:val="24"/>
          <w:szCs w:val="24"/>
          <w:lang w:eastAsia="ru-RU"/>
        </w:rPr>
        <w:lastRenderedPageBreak/>
        <w:t>дня регистрации обращения сообщается гражданину, направившему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8" w:name="Par125"/>
      <w:bookmarkEnd w:id="8"/>
      <w:r w:rsidRPr="00892250">
        <w:rPr>
          <w:rFonts w:ascii="PT Astra Serif" w:eastAsiaTheme="minorEastAsia" w:hAnsi="PT Astra Serif" w:cs="Times New Roman"/>
          <w:color w:val="000000" w:themeColor="text1"/>
          <w:sz w:val="24"/>
          <w:szCs w:val="24"/>
          <w:lang w:eastAsia="ru-RU"/>
        </w:rPr>
        <w:t>5.1. 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w:t>
      </w:r>
      <w:r w:rsidRPr="00892250">
        <w:rPr>
          <w:rFonts w:ascii="PT Astra Serif" w:eastAsiaTheme="minorEastAsia" w:hAnsi="PT Astra Serif" w:cs="Times New Roman"/>
          <w:color w:val="auto"/>
          <w:sz w:val="24"/>
          <w:szCs w:val="24"/>
          <w:lang w:eastAsia="ru-RU"/>
        </w:rPr>
        <w:t>существу поставленного в нем вопроса в связи с недопустимостью разглашения указанных сведений.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12. Сроки рассмотрения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auto"/>
          <w:sz w:val="24"/>
          <w:szCs w:val="24"/>
          <w:lang w:eastAsia="ru-RU"/>
        </w:rPr>
        <w:t xml:space="preserve">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r w:rsidRPr="00892250">
        <w:rPr>
          <w:rFonts w:ascii="PT Astra Serif" w:eastAsiaTheme="minorEastAsia" w:hAnsi="PT Astra Serif" w:cs="Times New Roman"/>
          <w:color w:val="000000" w:themeColor="text1"/>
          <w:sz w:val="24"/>
          <w:szCs w:val="24"/>
          <w:lang w:eastAsia="ru-RU"/>
        </w:rPr>
        <w:t>части 1.1 настоящей статьи.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bookmarkStart w:id="9" w:name="Par134"/>
      <w:bookmarkEnd w:id="9"/>
      <w:r w:rsidRPr="00892250">
        <w:rPr>
          <w:rFonts w:ascii="PT Astra Serif" w:eastAsiaTheme="minorEastAsia" w:hAnsi="PT Astra Serif" w:cs="Times New Roman"/>
          <w:color w:val="000000" w:themeColor="text1"/>
          <w:sz w:val="24"/>
          <w:szCs w:val="24"/>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13. Личный прием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lastRenderedPageBreak/>
        <w:t>2. При личном приеме гражданин предъявляет документ, удостоверяющий его личность.</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000000" w:themeColor="text1"/>
          <w:sz w:val="24"/>
          <w:szCs w:val="24"/>
          <w:lang w:eastAsia="ru-RU"/>
        </w:rPr>
        <w:t xml:space="preserve">3. Содержание устного обращения заносится в карточку личного приема гражданина. В случае, </w:t>
      </w:r>
      <w:r w:rsidRPr="00892250">
        <w:rPr>
          <w:rFonts w:ascii="PT Astra Serif" w:eastAsiaTheme="minorEastAsia" w:hAnsi="PT Astra Serif" w:cs="Times New Roman"/>
          <w:color w:val="auto"/>
          <w:sz w:val="24"/>
          <w:szCs w:val="24"/>
          <w:lang w:eastAsia="ru-RU"/>
        </w:rPr>
        <w:t>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auto"/>
          <w:sz w:val="24"/>
          <w:szCs w:val="24"/>
          <w:lang w:eastAsia="ru-RU"/>
        </w:rPr>
      </w:pPr>
      <w:r w:rsidRPr="00892250">
        <w:rPr>
          <w:rFonts w:ascii="PT Astra Serif" w:eastAsiaTheme="minorEastAsia" w:hAnsi="PT Astra Serif" w:cs="Times New Roman"/>
          <w:b/>
          <w:color w:val="auto"/>
          <w:sz w:val="24"/>
          <w:szCs w:val="24"/>
          <w:lang w:eastAsia="ru-RU"/>
        </w:rPr>
        <w:t>Статья 14. Контроль за соблюдением порядка рассмотрения обращений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auto"/>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15. Ответственность за нарушение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16. Возмещение причиненных убытков и взыскание понесенных расходов при рассмотрении обращений</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17. Признание не действующими на территории Российской Федерации отдельных нормативных правовых актов Союза ССР</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Признать не действующими на территории Российской Федерации:</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lastRenderedPageBreak/>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b/>
          <w:color w:val="000000" w:themeColor="text1"/>
          <w:sz w:val="24"/>
          <w:szCs w:val="24"/>
          <w:lang w:eastAsia="ru-RU"/>
        </w:rPr>
      </w:pPr>
      <w:r w:rsidRPr="00892250">
        <w:rPr>
          <w:rFonts w:ascii="PT Astra Serif" w:eastAsiaTheme="minorEastAsia" w:hAnsi="PT Astra Serif" w:cs="Times New Roman"/>
          <w:b/>
          <w:color w:val="000000" w:themeColor="text1"/>
          <w:sz w:val="24"/>
          <w:szCs w:val="24"/>
          <w:lang w:eastAsia="ru-RU"/>
        </w:rPr>
        <w:t>Статья 18. Вступление в силу настоящего Федерального закона</w:t>
      </w: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spacing w:line="260" w:lineRule="exact"/>
        <w:ind w:firstLine="709"/>
        <w:jc w:val="both"/>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Настоящий Федеральный закон вступает в силу по истечении 180 дней после дня его официального опубликования.</w:t>
      </w:r>
    </w:p>
    <w:p w:rsidR="00892250" w:rsidRPr="00892250" w:rsidRDefault="00892250" w:rsidP="00892250">
      <w:pPr>
        <w:widowControl w:val="0"/>
        <w:autoSpaceDE w:val="0"/>
        <w:autoSpaceDN w:val="0"/>
        <w:adjustRightInd w:val="0"/>
        <w:ind w:firstLine="540"/>
        <w:jc w:val="both"/>
        <w:rPr>
          <w:rFonts w:ascii="PT Astra Serif" w:eastAsiaTheme="minorEastAsia" w:hAnsi="PT Astra Serif" w:cs="Times New Roman"/>
          <w:color w:val="000000" w:themeColor="text1"/>
          <w:sz w:val="24"/>
          <w:szCs w:val="24"/>
          <w:lang w:eastAsia="ru-RU"/>
        </w:rPr>
      </w:pP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Президент</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000000" w:themeColor="text1"/>
          <w:sz w:val="24"/>
          <w:szCs w:val="24"/>
          <w:lang w:eastAsia="ru-RU"/>
        </w:rPr>
      </w:pPr>
      <w:r w:rsidRPr="00892250">
        <w:rPr>
          <w:rFonts w:ascii="PT Astra Serif" w:eastAsiaTheme="minorEastAsia" w:hAnsi="PT Astra Serif" w:cs="Times New Roman"/>
          <w:color w:val="000000" w:themeColor="text1"/>
          <w:sz w:val="24"/>
          <w:szCs w:val="24"/>
          <w:lang w:eastAsia="ru-RU"/>
        </w:rPr>
        <w:t>Российской Федерации</w:t>
      </w:r>
    </w:p>
    <w:p w:rsidR="00892250" w:rsidRPr="00892250" w:rsidRDefault="00892250" w:rsidP="00892250">
      <w:pPr>
        <w:widowControl w:val="0"/>
        <w:autoSpaceDE w:val="0"/>
        <w:autoSpaceDN w:val="0"/>
        <w:adjustRightInd w:val="0"/>
        <w:jc w:val="righ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В.ПУТИН</w:t>
      </w:r>
    </w:p>
    <w:p w:rsidR="00892250" w:rsidRPr="00892250" w:rsidRDefault="00892250" w:rsidP="00892250">
      <w:pPr>
        <w:widowControl w:val="0"/>
        <w:autoSpaceDE w:val="0"/>
        <w:autoSpaceDN w:val="0"/>
        <w:adjustRightInd w:val="0"/>
        <w:jc w:val="lef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Москва, Кремль</w:t>
      </w:r>
    </w:p>
    <w:p w:rsidR="00892250" w:rsidRPr="00892250" w:rsidRDefault="00892250" w:rsidP="00892250">
      <w:pPr>
        <w:widowControl w:val="0"/>
        <w:autoSpaceDE w:val="0"/>
        <w:autoSpaceDN w:val="0"/>
        <w:adjustRightInd w:val="0"/>
        <w:jc w:val="lef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2 мая 2006 года</w:t>
      </w:r>
    </w:p>
    <w:p w:rsidR="00892250" w:rsidRPr="00892250" w:rsidRDefault="00892250" w:rsidP="00892250">
      <w:pPr>
        <w:widowControl w:val="0"/>
        <w:autoSpaceDE w:val="0"/>
        <w:autoSpaceDN w:val="0"/>
        <w:adjustRightInd w:val="0"/>
        <w:jc w:val="left"/>
        <w:rPr>
          <w:rFonts w:ascii="PT Astra Serif" w:eastAsiaTheme="minorEastAsia" w:hAnsi="PT Astra Serif" w:cs="Times New Roman"/>
          <w:color w:val="auto"/>
          <w:sz w:val="24"/>
          <w:szCs w:val="24"/>
          <w:lang w:eastAsia="ru-RU"/>
        </w:rPr>
      </w:pPr>
      <w:r w:rsidRPr="00892250">
        <w:rPr>
          <w:rFonts w:ascii="PT Astra Serif" w:eastAsiaTheme="minorEastAsia" w:hAnsi="PT Astra Serif" w:cs="Times New Roman"/>
          <w:color w:val="auto"/>
          <w:sz w:val="24"/>
          <w:szCs w:val="24"/>
          <w:lang w:eastAsia="ru-RU"/>
        </w:rPr>
        <w:t>N 59-ФЗ</w:t>
      </w:r>
    </w:p>
    <w:p w:rsidR="00ED0CC1" w:rsidRDefault="00ED0CC1"/>
    <w:p w:rsidR="00892250" w:rsidRDefault="00892250"/>
    <w:p w:rsidR="00892250" w:rsidRDefault="00892250"/>
    <w:p w:rsidR="00892250" w:rsidRDefault="00892250" w:rsidP="0055465F">
      <w:pPr>
        <w:jc w:val="both"/>
      </w:pPr>
    </w:p>
    <w:sectPr w:rsidR="00892250" w:rsidSect="0055465F">
      <w:pgSz w:w="11906" w:h="16838"/>
      <w:pgMar w:top="1134" w:right="850" w:bottom="1134" w:left="1701"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37E" w:rsidRDefault="001D737E">
      <w:r>
        <w:separator/>
      </w:r>
    </w:p>
  </w:endnote>
  <w:endnote w:type="continuationSeparator" w:id="1">
    <w:p w:rsidR="001D737E" w:rsidRDefault="001D73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37E" w:rsidRDefault="001D737E">
      <w:r>
        <w:separator/>
      </w:r>
    </w:p>
  </w:footnote>
  <w:footnote w:type="continuationSeparator" w:id="1">
    <w:p w:rsidR="001D737E" w:rsidRDefault="001D73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2250"/>
    <w:rsid w:val="000A6A4F"/>
    <w:rsid w:val="001D737E"/>
    <w:rsid w:val="001E328F"/>
    <w:rsid w:val="00332255"/>
    <w:rsid w:val="00506C33"/>
    <w:rsid w:val="00510DB2"/>
    <w:rsid w:val="005401B4"/>
    <w:rsid w:val="0055465F"/>
    <w:rsid w:val="005A2E30"/>
    <w:rsid w:val="006064CC"/>
    <w:rsid w:val="006A21ED"/>
    <w:rsid w:val="00892250"/>
    <w:rsid w:val="009119D9"/>
    <w:rsid w:val="00B01863"/>
    <w:rsid w:val="00DA5EC3"/>
    <w:rsid w:val="00DC6650"/>
    <w:rsid w:val="00E01CBF"/>
    <w:rsid w:val="00ED0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250"/>
    <w:pPr>
      <w:spacing w:after="0" w:line="240" w:lineRule="auto"/>
      <w:jc w:val="center"/>
    </w:pPr>
    <w:rPr>
      <w:rFonts w:ascii="Times New Roman" w:hAnsi="Times New Roman" w:cs="Courier New"/>
      <w:color w:val="000000"/>
      <w:sz w:val="28"/>
      <w:szCs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250"/>
    <w:pPr>
      <w:spacing w:after="0" w:line="240" w:lineRule="auto"/>
      <w:jc w:val="center"/>
    </w:pPr>
    <w:rPr>
      <w:rFonts w:ascii="Times New Roman" w:hAnsi="Times New Roman" w:cs="Courier New"/>
      <w:color w:val="000000"/>
      <w:sz w:val="28"/>
      <w:szCs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892250"/>
    <w:rPr>
      <w:sz w:val="16"/>
      <w:szCs w:val="16"/>
    </w:rPr>
  </w:style>
  <w:style w:type="paragraph" w:styleId="a5">
    <w:name w:val="annotation text"/>
    <w:basedOn w:val="a"/>
    <w:link w:val="a6"/>
    <w:uiPriority w:val="99"/>
    <w:semiHidden/>
    <w:unhideWhenUsed/>
    <w:rsid w:val="00892250"/>
    <w:rPr>
      <w:sz w:val="20"/>
      <w:szCs w:val="20"/>
    </w:rPr>
  </w:style>
  <w:style w:type="character" w:customStyle="1" w:styleId="a6">
    <w:name w:val="Текст примечания Знак"/>
    <w:basedOn w:val="a0"/>
    <w:link w:val="a5"/>
    <w:uiPriority w:val="99"/>
    <w:semiHidden/>
    <w:rsid w:val="00892250"/>
    <w:rPr>
      <w:rFonts w:ascii="Times New Roman" w:hAnsi="Times New Roman" w:cs="Courier New"/>
      <w:color w:val="000000"/>
      <w:sz w:val="20"/>
      <w:szCs w:val="20"/>
    </w:rPr>
  </w:style>
  <w:style w:type="paragraph" w:styleId="a7">
    <w:name w:val="annotation subject"/>
    <w:basedOn w:val="a5"/>
    <w:next w:val="a5"/>
    <w:link w:val="a8"/>
    <w:uiPriority w:val="99"/>
    <w:semiHidden/>
    <w:unhideWhenUsed/>
    <w:rsid w:val="00892250"/>
    <w:rPr>
      <w:b/>
      <w:bCs/>
    </w:rPr>
  </w:style>
  <w:style w:type="character" w:customStyle="1" w:styleId="a8">
    <w:name w:val="Тема примечания Знак"/>
    <w:basedOn w:val="a6"/>
    <w:link w:val="a7"/>
    <w:uiPriority w:val="99"/>
    <w:semiHidden/>
    <w:rsid w:val="00892250"/>
    <w:rPr>
      <w:rFonts w:ascii="Times New Roman" w:hAnsi="Times New Roman" w:cs="Courier New"/>
      <w:b/>
      <w:bCs/>
      <w:color w:val="000000"/>
      <w:sz w:val="20"/>
      <w:szCs w:val="20"/>
    </w:rPr>
  </w:style>
  <w:style w:type="paragraph" w:styleId="a9">
    <w:name w:val="Balloon Text"/>
    <w:basedOn w:val="a"/>
    <w:link w:val="aa"/>
    <w:uiPriority w:val="99"/>
    <w:semiHidden/>
    <w:unhideWhenUsed/>
    <w:rsid w:val="00892250"/>
    <w:rPr>
      <w:rFonts w:ascii="Segoe UI" w:hAnsi="Segoe UI" w:cs="Segoe UI"/>
      <w:sz w:val="18"/>
      <w:szCs w:val="18"/>
    </w:rPr>
  </w:style>
  <w:style w:type="character" w:customStyle="1" w:styleId="aa">
    <w:name w:val="Текст выноски Знак"/>
    <w:basedOn w:val="a0"/>
    <w:link w:val="a9"/>
    <w:uiPriority w:val="99"/>
    <w:semiHidden/>
    <w:rsid w:val="00892250"/>
    <w:rPr>
      <w:rFonts w:ascii="Segoe UI" w:hAnsi="Segoe UI" w:cs="Segoe UI"/>
      <w:color w:val="000000"/>
      <w:sz w:val="18"/>
      <w:szCs w:val="18"/>
    </w:rPr>
  </w:style>
  <w:style w:type="table" w:customStyle="1" w:styleId="1">
    <w:name w:val="Сетка таблицы1"/>
    <w:basedOn w:val="a1"/>
    <w:next w:val="a3"/>
    <w:uiPriority w:val="39"/>
    <w:rsid w:val="008922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892250"/>
    <w:pPr>
      <w:tabs>
        <w:tab w:val="center" w:pos="4677"/>
        <w:tab w:val="right" w:pos="9355"/>
      </w:tabs>
    </w:pPr>
  </w:style>
  <w:style w:type="character" w:customStyle="1" w:styleId="ac">
    <w:name w:val="Верхний колонтитул Знак"/>
    <w:basedOn w:val="a0"/>
    <w:link w:val="ab"/>
    <w:uiPriority w:val="99"/>
    <w:semiHidden/>
    <w:rsid w:val="00892250"/>
    <w:rPr>
      <w:rFonts w:ascii="Times New Roman" w:hAnsi="Times New Roman" w:cs="Courier New"/>
      <w:color w:val="000000"/>
      <w:sz w:val="28"/>
      <w:szCs w:val="2"/>
    </w:rPr>
  </w:style>
  <w:style w:type="character" w:styleId="ad">
    <w:name w:val="page number"/>
    <w:basedOn w:val="a0"/>
    <w:rsid w:val="00892250"/>
  </w:style>
  <w:style w:type="table" w:customStyle="1" w:styleId="11">
    <w:name w:val="Сетка таблицы11"/>
    <w:basedOn w:val="a1"/>
    <w:next w:val="a3"/>
    <w:uiPriority w:val="39"/>
    <w:rsid w:val="008922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8493&amp;date=22.08.2023&amp;dst=100008&amp;field=134" TargetMode="External"/><Relationship Id="rId3" Type="http://schemas.openxmlformats.org/officeDocument/2006/relationships/settings" Target="settings.xml"/><Relationship Id="rId7" Type="http://schemas.openxmlformats.org/officeDocument/2006/relationships/hyperlink" Target="https://login.consultant.ru/link/?req=doc&amp;base=LAW&amp;n=145999&amp;date=22.08.2023&amp;dst=100014&amp;fie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B3AE9-B987-4A3D-84E5-8AF13335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3801</Words>
  <Characters>21668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Ирина Юрьевна</dc:creator>
  <cp:lastModifiedBy>user117-2</cp:lastModifiedBy>
  <cp:revision>2</cp:revision>
  <dcterms:created xsi:type="dcterms:W3CDTF">2024-01-24T06:09:00Z</dcterms:created>
  <dcterms:modified xsi:type="dcterms:W3CDTF">2024-01-24T06:09:00Z</dcterms:modified>
</cp:coreProperties>
</file>