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646" w:tblpY="918"/>
        <w:tblOverlap w:val="never"/>
        <w:tblW w:w="9288" w:type="dxa"/>
        <w:tblLayout w:type="fixed"/>
        <w:tblLook w:val="04A0" w:firstRow="1" w:lastRow="0" w:firstColumn="1" w:lastColumn="0" w:noHBand="0" w:noVBand="1"/>
      </w:tblPr>
      <w:tblGrid>
        <w:gridCol w:w="3369"/>
        <w:gridCol w:w="2821"/>
        <w:gridCol w:w="1148"/>
        <w:gridCol w:w="1950"/>
      </w:tblGrid>
      <w:tr w:rsidR="00263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4"/>
          </w:tcPr>
          <w:p w:rsidR="00263538" w:rsidRPr="00E90A19" w:rsidRDefault="00ED0E9D">
            <w:pPr>
              <w:jc w:val="center"/>
              <w:rPr>
                <w:b/>
                <w:sz w:val="32"/>
                <w:szCs w:val="32"/>
                <w:lang w:val="ru-RU"/>
              </w:rPr>
            </w:pPr>
            <w:bookmarkStart w:id="0" w:name="_GoBack"/>
            <w:bookmarkEnd w:id="0"/>
            <w:r w:rsidRPr="00E90A19">
              <w:rPr>
                <w:b/>
                <w:sz w:val="32"/>
                <w:szCs w:val="32"/>
                <w:lang w:val="ru-RU"/>
              </w:rPr>
              <w:t>ТЕРРИТОРИАЛЬНАЯ</w:t>
            </w:r>
            <w:r w:rsidRPr="00E90A19">
              <w:rPr>
                <w:b/>
                <w:sz w:val="32"/>
                <w:szCs w:val="32"/>
                <w:lang w:val="ru-RU"/>
              </w:rPr>
              <w:t xml:space="preserve"> </w:t>
            </w:r>
            <w:r w:rsidRPr="00E90A19">
              <w:rPr>
                <w:b/>
                <w:sz w:val="32"/>
                <w:szCs w:val="32"/>
                <w:lang w:val="ru-RU"/>
              </w:rPr>
              <w:t xml:space="preserve">ИЗБИРАТЕЛЬНАЯ КОМИССИЯ </w:t>
            </w:r>
          </w:p>
          <w:p w:rsidR="00263538" w:rsidRPr="00E90A19" w:rsidRDefault="00ED0E9D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E90A19">
              <w:rPr>
                <w:b/>
                <w:sz w:val="32"/>
                <w:szCs w:val="32"/>
                <w:lang w:val="ru-RU"/>
              </w:rPr>
              <w:t>АЛЕКСИНСКОГО</w:t>
            </w:r>
            <w:r w:rsidRPr="00E90A19">
              <w:rPr>
                <w:b/>
                <w:sz w:val="32"/>
                <w:szCs w:val="32"/>
                <w:lang w:val="ru-RU"/>
              </w:rPr>
              <w:t xml:space="preserve"> РАЙОНА </w:t>
            </w:r>
            <w:r w:rsidRPr="00E90A19">
              <w:rPr>
                <w:b/>
                <w:sz w:val="32"/>
                <w:szCs w:val="32"/>
                <w:lang w:val="ru-RU"/>
              </w:rPr>
              <w:t>ТУЛЬСКОЙ ОБЛАСТИ</w:t>
            </w:r>
          </w:p>
          <w:p w:rsidR="00263538" w:rsidRPr="00E90A19" w:rsidRDefault="00263538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263538" w:rsidRDefault="00ED0E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pacing w:val="80"/>
                <w:sz w:val="32"/>
                <w:szCs w:val="32"/>
              </w:rPr>
              <w:t>ПОСТАНОВЛЕНИЕ</w:t>
            </w:r>
          </w:p>
          <w:p w:rsidR="00263538" w:rsidRDefault="00263538">
            <w:pPr>
              <w:jc w:val="center"/>
              <w:rPr>
                <w:sz w:val="27"/>
                <w:szCs w:val="27"/>
              </w:rPr>
            </w:pPr>
          </w:p>
        </w:tc>
      </w:tr>
      <w:tr w:rsidR="00263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vAlign w:val="center"/>
          </w:tcPr>
          <w:p w:rsidR="00263538" w:rsidRDefault="00ED0E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17 июля </w:t>
            </w:r>
            <w:r>
              <w:rPr>
                <w:sz w:val="27"/>
                <w:szCs w:val="27"/>
              </w:rPr>
              <w:t xml:space="preserve"> 20</w:t>
            </w:r>
            <w:r>
              <w:rPr>
                <w:sz w:val="27"/>
                <w:szCs w:val="27"/>
              </w:rPr>
              <w:t>22</w:t>
            </w:r>
            <w:r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2821" w:type="dxa"/>
          </w:tcPr>
          <w:p w:rsidR="00263538" w:rsidRDefault="0026353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48" w:type="dxa"/>
            <w:vAlign w:val="center"/>
          </w:tcPr>
          <w:p w:rsidR="00263538" w:rsidRDefault="00ED0E9D">
            <w:pPr>
              <w:jc w:val="righ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№</w:t>
            </w:r>
          </w:p>
        </w:tc>
        <w:tc>
          <w:tcPr>
            <w:tcW w:w="1950" w:type="dxa"/>
            <w:vAlign w:val="center"/>
          </w:tcPr>
          <w:p w:rsidR="00263538" w:rsidRDefault="00ED0E9D">
            <w:pPr>
              <w:pStyle w:val="af1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27-1</w:t>
            </w:r>
          </w:p>
        </w:tc>
      </w:tr>
      <w:tr w:rsidR="00263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vAlign w:val="center"/>
          </w:tcPr>
          <w:p w:rsidR="00263538" w:rsidRDefault="0026353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21" w:type="dxa"/>
          </w:tcPr>
          <w:p w:rsidR="00263538" w:rsidRDefault="00ED0E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Алексин</w:t>
            </w:r>
          </w:p>
        </w:tc>
        <w:tc>
          <w:tcPr>
            <w:tcW w:w="1148" w:type="dxa"/>
            <w:vAlign w:val="center"/>
          </w:tcPr>
          <w:p w:rsidR="00263538" w:rsidRDefault="00263538">
            <w:pPr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1950" w:type="dxa"/>
            <w:vAlign w:val="center"/>
          </w:tcPr>
          <w:p w:rsidR="00263538" w:rsidRDefault="00263538">
            <w:pPr>
              <w:pStyle w:val="af1"/>
              <w:rPr>
                <w:bCs/>
                <w:sz w:val="27"/>
                <w:szCs w:val="27"/>
              </w:rPr>
            </w:pPr>
          </w:p>
        </w:tc>
      </w:tr>
    </w:tbl>
    <w:p w:rsidR="00263538" w:rsidRDefault="00263538">
      <w:pPr>
        <w:pStyle w:val="a5"/>
        <w:rPr>
          <w:bCs/>
          <w:sz w:val="27"/>
          <w:szCs w:val="27"/>
        </w:rPr>
      </w:pPr>
    </w:p>
    <w:p w:rsidR="00263538" w:rsidRDefault="00263538">
      <w:pPr>
        <w:pStyle w:val="a5"/>
        <w:rPr>
          <w:bCs/>
          <w:sz w:val="27"/>
          <w:szCs w:val="27"/>
        </w:rPr>
      </w:pPr>
    </w:p>
    <w:p w:rsidR="00263538" w:rsidRDefault="00263538">
      <w:pPr>
        <w:pStyle w:val="a5"/>
        <w:rPr>
          <w:bCs/>
          <w:sz w:val="27"/>
          <w:szCs w:val="27"/>
        </w:rPr>
      </w:pPr>
    </w:p>
    <w:p w:rsidR="00263538" w:rsidRPr="00E90A19" w:rsidRDefault="00ED0E9D">
      <w:pPr>
        <w:pStyle w:val="1"/>
        <w:rPr>
          <w:rStyle w:val="af0"/>
          <w:b/>
          <w:bCs w:val="0"/>
          <w:lang w:val="ru-RU"/>
        </w:rPr>
      </w:pPr>
      <w:r w:rsidRPr="00E90A19">
        <w:rPr>
          <w:rStyle w:val="af0"/>
          <w:b/>
          <w:bCs w:val="0"/>
          <w:lang w:val="ru-RU"/>
        </w:rPr>
        <w:t xml:space="preserve">Об отказе в заверении перечня кандидатов в депутаты </w:t>
      </w:r>
    </w:p>
    <w:p w:rsidR="00263538" w:rsidRPr="00E90A19" w:rsidRDefault="00ED0E9D">
      <w:pPr>
        <w:pStyle w:val="1"/>
        <w:rPr>
          <w:rStyle w:val="af0"/>
          <w:b/>
          <w:bCs w:val="0"/>
          <w:lang w:val="ru-RU"/>
        </w:rPr>
      </w:pPr>
      <w:r w:rsidRPr="00E90A19">
        <w:rPr>
          <w:rStyle w:val="af0"/>
          <w:b/>
          <w:bCs w:val="0"/>
          <w:lang w:val="ru-RU"/>
        </w:rPr>
        <w:t xml:space="preserve">Собрания депутатов муниципального образования город Алексин </w:t>
      </w:r>
    </w:p>
    <w:p w:rsidR="00263538" w:rsidRPr="00E90A19" w:rsidRDefault="00ED0E9D">
      <w:pPr>
        <w:pStyle w:val="1"/>
        <w:rPr>
          <w:rStyle w:val="af0"/>
          <w:b/>
          <w:bCs w:val="0"/>
          <w:lang w:val="ru-RU"/>
        </w:rPr>
      </w:pPr>
      <w:r w:rsidRPr="00E90A19">
        <w:rPr>
          <w:rStyle w:val="af0"/>
          <w:b/>
          <w:bCs w:val="0"/>
          <w:lang w:val="ru-RU"/>
        </w:rPr>
        <w:t xml:space="preserve">второго созыва, выдвинутых Алексинским местным отделением </w:t>
      </w:r>
    </w:p>
    <w:p w:rsidR="00263538" w:rsidRPr="00E90A19" w:rsidRDefault="00ED0E9D">
      <w:pPr>
        <w:pStyle w:val="1"/>
        <w:rPr>
          <w:lang w:val="ru-RU"/>
        </w:rPr>
      </w:pPr>
      <w:r w:rsidRPr="00E90A19">
        <w:rPr>
          <w:rStyle w:val="af0"/>
          <w:b/>
          <w:bCs w:val="0"/>
          <w:lang w:val="ru-RU"/>
        </w:rPr>
        <w:t xml:space="preserve">Тульского регионального отделения Политической партии </w:t>
      </w:r>
      <w:r w:rsidRPr="00E90A19">
        <w:rPr>
          <w:lang w:val="ru-RU"/>
        </w:rPr>
        <w:t>ЛДПР – Либерально-демократической партии России»</w:t>
      </w:r>
    </w:p>
    <w:p w:rsidR="00263538" w:rsidRPr="00E90A19" w:rsidRDefault="00ED0E9D">
      <w:pPr>
        <w:pStyle w:val="1"/>
        <w:rPr>
          <w:lang w:val="ru-RU"/>
        </w:rPr>
      </w:pPr>
      <w:r w:rsidRPr="00E90A19">
        <w:rPr>
          <w:lang w:val="ru-RU"/>
        </w:rPr>
        <w:t xml:space="preserve"> по четырехмандатному избирательному округу № 2</w:t>
      </w:r>
    </w:p>
    <w:p w:rsidR="00263538" w:rsidRPr="00E90A19" w:rsidRDefault="00263538">
      <w:pPr>
        <w:pStyle w:val="1"/>
        <w:rPr>
          <w:lang w:val="ru-RU"/>
        </w:rPr>
      </w:pPr>
    </w:p>
    <w:p w:rsidR="00263538" w:rsidRPr="00E90A19" w:rsidRDefault="00ED0E9D">
      <w:pPr>
        <w:pStyle w:val="p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0A19">
        <w:rPr>
          <w:rFonts w:ascii="Times New Roman" w:hAnsi="Times New Roman"/>
          <w:sz w:val="28"/>
          <w:szCs w:val="28"/>
          <w:lang w:val="ru-RU"/>
        </w:rPr>
        <w:t xml:space="preserve">Рассмотрев документы, представленные 15 июля 2022 года для заверения перечня кандидатов в депутаты Собрания депутатов муниципального образования город Алекси второго созыва, выдвинутого по четырехмандатному избирательному округу № 2  </w:t>
      </w:r>
      <w:r w:rsidRPr="00E90A19">
        <w:rPr>
          <w:rStyle w:val="af0"/>
          <w:rFonts w:ascii="Times New Roman" w:hAnsi="Times New Roman"/>
          <w:b w:val="0"/>
          <w:sz w:val="28"/>
          <w:szCs w:val="28"/>
          <w:lang w:val="ru-RU"/>
        </w:rPr>
        <w:t>Алексинским местным от</w:t>
      </w:r>
      <w:r w:rsidRPr="00E90A19">
        <w:rPr>
          <w:rStyle w:val="af0"/>
          <w:rFonts w:ascii="Times New Roman" w:hAnsi="Times New Roman"/>
          <w:b w:val="0"/>
          <w:sz w:val="28"/>
          <w:szCs w:val="28"/>
          <w:lang w:val="ru-RU"/>
        </w:rPr>
        <w:t xml:space="preserve">делением Тульского регионального отделения Политической партии </w:t>
      </w:r>
      <w:r w:rsidRPr="00E90A19">
        <w:rPr>
          <w:rFonts w:ascii="Times New Roman" w:hAnsi="Times New Roman"/>
          <w:b/>
          <w:sz w:val="28"/>
          <w:szCs w:val="28"/>
          <w:lang w:val="ru-RU"/>
        </w:rPr>
        <w:t xml:space="preserve">ЛДПР </w:t>
      </w:r>
      <w:r w:rsidRPr="00E90A19">
        <w:rPr>
          <w:rFonts w:ascii="Times New Roman" w:hAnsi="Times New Roman"/>
          <w:sz w:val="28"/>
          <w:szCs w:val="28"/>
          <w:lang w:val="ru-RU"/>
        </w:rPr>
        <w:t xml:space="preserve">– Либерально-демократической партии России», проверив соблюдение порядка выдвижения списка кандидатов требованиям закона, территориальная избирательная комиссия Алексинского района </w:t>
      </w:r>
      <w:r w:rsidRPr="00E90A19">
        <w:rPr>
          <w:rFonts w:ascii="Times New Roman" w:hAnsi="Times New Roman"/>
          <w:sz w:val="28"/>
          <w:szCs w:val="28"/>
          <w:lang w:val="ru-RU"/>
        </w:rPr>
        <w:t>Тульской области, организующая дополнительные выборы депутатов Собрания депутатов муниципального образования город Алексин второго созыва по четырехмандатному избирательному округу № 2,  установила следующее.</w:t>
      </w:r>
    </w:p>
    <w:p w:rsidR="00263538" w:rsidRPr="00E90A19" w:rsidRDefault="00ED0E9D">
      <w:pPr>
        <w:pStyle w:val="1"/>
        <w:spacing w:line="360" w:lineRule="auto"/>
        <w:ind w:firstLine="709"/>
        <w:jc w:val="both"/>
        <w:rPr>
          <w:b w:val="0"/>
          <w:bCs/>
          <w:lang w:val="ru-RU"/>
        </w:rPr>
      </w:pPr>
      <w:r w:rsidRPr="00E90A19">
        <w:rPr>
          <w:rStyle w:val="af0"/>
          <w:lang w:val="ru-RU"/>
        </w:rPr>
        <w:t>Алексинское местное отделение Тульского региона</w:t>
      </w:r>
      <w:r w:rsidRPr="00E90A19">
        <w:rPr>
          <w:rStyle w:val="af0"/>
          <w:lang w:val="ru-RU"/>
        </w:rPr>
        <w:t xml:space="preserve">льного отделения Политической партии </w:t>
      </w:r>
      <w:r w:rsidRPr="00E90A19">
        <w:rPr>
          <w:lang w:val="ru-RU"/>
        </w:rPr>
        <w:t xml:space="preserve">ЛДПР – </w:t>
      </w:r>
      <w:r w:rsidRPr="00E90A19">
        <w:rPr>
          <w:b w:val="0"/>
          <w:bCs/>
          <w:lang w:val="ru-RU"/>
        </w:rPr>
        <w:t>Либерально-демократической партии России»</w:t>
      </w:r>
    </w:p>
    <w:p w:rsidR="00263538" w:rsidRDefault="00ED0E9D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0A19">
        <w:rPr>
          <w:sz w:val="28"/>
          <w:szCs w:val="28"/>
          <w:lang w:val="ru-RU"/>
        </w:rPr>
        <w:t xml:space="preserve"> 15 июля 2022 года представила в территориальную избирательную комиссию </w:t>
      </w:r>
      <w:r>
        <w:rPr>
          <w:sz w:val="28"/>
          <w:szCs w:val="28"/>
        </w:rPr>
        <w:t>Алексинского района Тульской области документы для заверения списка кандидатов в депутаты Собрания</w:t>
      </w:r>
      <w:r>
        <w:rPr>
          <w:sz w:val="28"/>
          <w:szCs w:val="28"/>
        </w:rPr>
        <w:t xml:space="preserve"> депутатов муниципального образования город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Алексин второго созыва, выдвинутых указанным избирательным объединением по четырехмандатному избирательному округу №2.</w:t>
      </w:r>
    </w:p>
    <w:p w:rsidR="00263538" w:rsidRDefault="00ED0E9D">
      <w:pPr>
        <w:pStyle w:val="ad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90A19">
        <w:rPr>
          <w:sz w:val="28"/>
          <w:szCs w:val="28"/>
          <w:lang w:val="ru-RU"/>
        </w:rPr>
        <w:lastRenderedPageBreak/>
        <w:t>В соответствии с пунктом 1 подпунктами «б» и «в» статьи 27 Федерального закона от 11</w:t>
      </w:r>
      <w:r>
        <w:rPr>
          <w:sz w:val="28"/>
          <w:szCs w:val="28"/>
        </w:rPr>
        <w:t> </w:t>
      </w:r>
      <w:r w:rsidRPr="00E90A19">
        <w:rPr>
          <w:sz w:val="28"/>
          <w:szCs w:val="28"/>
          <w:lang w:val="ru-RU"/>
        </w:rPr>
        <w:t>июля 200</w:t>
      </w:r>
      <w:r w:rsidRPr="00E90A19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 </w:t>
      </w:r>
      <w:r w:rsidRPr="00E90A19">
        <w:rPr>
          <w:sz w:val="28"/>
          <w:szCs w:val="28"/>
          <w:lang w:val="ru-RU"/>
        </w:rPr>
        <w:t xml:space="preserve">года № 95-ФЗ «О политических партиях» (в редакции от 14.03.2022 г.) </w:t>
      </w:r>
      <w:r>
        <w:rPr>
          <w:sz w:val="28"/>
          <w:szCs w:val="28"/>
        </w:rPr>
        <w:t xml:space="preserve">Политическая партия, ее региональные отделения и иные структурные подразделения </w:t>
      </w:r>
      <w:r>
        <w:rPr>
          <w:b/>
          <w:sz w:val="28"/>
          <w:szCs w:val="28"/>
        </w:rPr>
        <w:t>обязаны:</w:t>
      </w:r>
    </w:p>
    <w:p w:rsidR="00263538" w:rsidRPr="00E90A19" w:rsidRDefault="00ED0E9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E90A19">
        <w:rPr>
          <w:sz w:val="28"/>
          <w:szCs w:val="28"/>
          <w:lang w:val="ru-RU"/>
        </w:rPr>
        <w:t>б) извещать соответствующий уполномоченный орган о проведении открытых мероприятий (в том числе с</w:t>
      </w:r>
      <w:r w:rsidRPr="00E90A19">
        <w:rPr>
          <w:sz w:val="28"/>
          <w:szCs w:val="28"/>
          <w:lang w:val="ru-RU"/>
        </w:rPr>
        <w:t xml:space="preserve">ъездов, конференций или общих собраний по выдвижению кандидатов в депутаты и на иные выборные должности в органах государственной власти, органах публичной власти федеральных территорий и органах местного самоуправления, не позднее чем за один день до дня </w:t>
      </w:r>
      <w:r w:rsidRPr="00E90A19">
        <w:rPr>
          <w:sz w:val="28"/>
          <w:szCs w:val="28"/>
          <w:lang w:val="ru-RU"/>
        </w:rPr>
        <w:t>проведения мероприятия при его проведении в пределах населенного пункта, в котором расположен уполномоченный орган, и не позднее чем за три дня до дня проведения мероприятия при его проведении за пределами соответствующего населенного пункта и допускать пр</w:t>
      </w:r>
      <w:r w:rsidRPr="00E90A19">
        <w:rPr>
          <w:sz w:val="28"/>
          <w:szCs w:val="28"/>
          <w:lang w:val="ru-RU"/>
        </w:rPr>
        <w:t>едставителей уполномоченных органов на указанные мероприятия, проводимые политической партией, ее региональными отделениями и иными структурными подразделениями;</w:t>
      </w:r>
    </w:p>
    <w:p w:rsidR="00263538" w:rsidRPr="00E90A19" w:rsidRDefault="00ED0E9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0A19">
        <w:rPr>
          <w:sz w:val="28"/>
          <w:szCs w:val="28"/>
          <w:lang w:val="ru-RU"/>
        </w:rPr>
        <w:t>в) извещать избирательную комиссию соответствующего уровня о проведении мероприятий, связанных</w:t>
      </w:r>
      <w:r w:rsidRPr="00E90A19">
        <w:rPr>
          <w:sz w:val="28"/>
          <w:szCs w:val="28"/>
          <w:lang w:val="ru-RU"/>
        </w:rPr>
        <w:t xml:space="preserve"> с выдвижением своих кандидатов (списков кандидатов) в депутаты и на иные выборные должности в органах государственной власти, органах публичной власти федеральных территорий и органах местного самоуправления, не позднее чем за один день до дня проведения </w:t>
      </w:r>
      <w:r w:rsidRPr="00E90A19">
        <w:rPr>
          <w:sz w:val="28"/>
          <w:szCs w:val="28"/>
          <w:lang w:val="ru-RU"/>
        </w:rPr>
        <w:t>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 и допускать представителей и</w:t>
      </w:r>
      <w:r w:rsidRPr="00E90A19">
        <w:rPr>
          <w:sz w:val="28"/>
          <w:szCs w:val="28"/>
          <w:lang w:val="ru-RU"/>
        </w:rPr>
        <w:t xml:space="preserve">збирательной комиссии соответствующего уровня на указанные мероприятия. </w:t>
      </w:r>
    </w:p>
    <w:p w:rsidR="00263538" w:rsidRDefault="00ED0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 подлежит извещению Управление Министерства юстиции Российской Федерации по Тульской области и территориальная избирательная комиссия Алексинского района о проведении м</w:t>
      </w:r>
      <w:r>
        <w:rPr>
          <w:sz w:val="28"/>
          <w:szCs w:val="28"/>
        </w:rPr>
        <w:t xml:space="preserve">ероприятия, связанного с выдвижением кандидатов (списков кандитатов) в депутаты. </w:t>
      </w:r>
    </w:p>
    <w:p w:rsidR="00263538" w:rsidRPr="00E90A19" w:rsidRDefault="00ED0E9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0A19">
        <w:rPr>
          <w:sz w:val="28"/>
          <w:szCs w:val="28"/>
          <w:lang w:val="ru-RU"/>
        </w:rPr>
        <w:lastRenderedPageBreak/>
        <w:t>Однако, территориальная избирательная комиссия Алексинского района Тульской области, организующая дополнительные выборы депутатов Собрания депутатов муниципального образовани</w:t>
      </w:r>
      <w:r w:rsidRPr="00E90A19">
        <w:rPr>
          <w:sz w:val="28"/>
          <w:szCs w:val="28"/>
          <w:lang w:val="ru-RU"/>
        </w:rPr>
        <w:t>я город Алекси</w:t>
      </w:r>
      <w:r w:rsidRPr="00E90A19">
        <w:rPr>
          <w:sz w:val="28"/>
          <w:szCs w:val="28"/>
          <w:lang w:val="ru-RU"/>
        </w:rPr>
        <w:t>н</w:t>
      </w:r>
      <w:r w:rsidRPr="00E90A19">
        <w:rPr>
          <w:sz w:val="28"/>
          <w:szCs w:val="28"/>
          <w:lang w:val="ru-RU"/>
        </w:rPr>
        <w:t xml:space="preserve"> второго созыва по четырехмандатному избирательному округу № 2, не была извещена </w:t>
      </w:r>
      <w:r w:rsidRPr="00E90A19">
        <w:rPr>
          <w:sz w:val="28"/>
          <w:szCs w:val="28"/>
          <w:lang w:val="ru-RU"/>
        </w:rPr>
        <w:t>избирательным</w:t>
      </w:r>
      <w:r w:rsidRPr="00E90A19">
        <w:rPr>
          <w:sz w:val="28"/>
          <w:szCs w:val="28"/>
          <w:lang w:val="ru-RU"/>
        </w:rPr>
        <w:t xml:space="preserve"> объединением, </w:t>
      </w:r>
      <w:r w:rsidRPr="00E90A19">
        <w:rPr>
          <w:sz w:val="28"/>
          <w:szCs w:val="28"/>
          <w:lang w:val="ru-RU"/>
        </w:rPr>
        <w:t>в установленном законом порядке</w:t>
      </w:r>
      <w:r w:rsidRPr="00E90A19">
        <w:rPr>
          <w:sz w:val="28"/>
          <w:szCs w:val="28"/>
          <w:lang w:val="ru-RU"/>
        </w:rPr>
        <w:t xml:space="preserve">, о проведении мероприятия, связанного с выдвижением </w:t>
      </w:r>
      <w:r w:rsidRPr="00E90A19">
        <w:rPr>
          <w:sz w:val="28"/>
          <w:szCs w:val="28"/>
          <w:lang w:val="ru-RU"/>
        </w:rPr>
        <w:t xml:space="preserve">кандидатов (списков кандитатов) в депутаты.  </w:t>
      </w:r>
    </w:p>
    <w:p w:rsidR="00263538" w:rsidRPr="00E90A19" w:rsidRDefault="00ED0E9D">
      <w:pPr>
        <w:spacing w:line="360" w:lineRule="auto"/>
        <w:jc w:val="both"/>
        <w:rPr>
          <w:sz w:val="28"/>
          <w:szCs w:val="28"/>
          <w:lang w:val="ru-RU"/>
        </w:rPr>
      </w:pPr>
      <w:r w:rsidRPr="00E90A19">
        <w:rPr>
          <w:sz w:val="28"/>
          <w:szCs w:val="28"/>
          <w:lang w:val="ru-RU"/>
        </w:rPr>
        <w:t xml:space="preserve">  </w:t>
      </w:r>
      <w:r w:rsidRPr="00E90A19">
        <w:rPr>
          <w:sz w:val="28"/>
          <w:szCs w:val="28"/>
          <w:lang w:val="ru-RU"/>
        </w:rPr>
        <w:t xml:space="preserve">         Несоблюдение требований  к выдвижению кандидатов, предусмотренных Федеральным законом «О политическтих партиях» является основанием для отказа в заверении перечня кандидатов кандидатов.</w:t>
      </w:r>
    </w:p>
    <w:p w:rsidR="00263538" w:rsidRDefault="00ED0E9D">
      <w:pPr>
        <w:pStyle w:val="p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0A19">
        <w:rPr>
          <w:rFonts w:ascii="Times New Roman" w:hAnsi="Times New Roman"/>
          <w:sz w:val="28"/>
          <w:szCs w:val="28"/>
          <w:lang w:val="ru-RU"/>
        </w:rPr>
        <w:t xml:space="preserve">Учитывая вышеизложенное, руководствуясь  пунктом 14.2 статьи </w:t>
      </w:r>
      <w:r w:rsidRPr="00E90A19">
        <w:rPr>
          <w:rFonts w:ascii="Times New Roman" w:hAnsi="Times New Roman"/>
          <w:sz w:val="28"/>
          <w:szCs w:val="28"/>
          <w:lang w:val="ru-RU"/>
        </w:rPr>
        <w:t xml:space="preserve">35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частью </w:t>
      </w:r>
      <w:r>
        <w:rPr>
          <w:rFonts w:ascii="Times New Roman" w:hAnsi="Times New Roman"/>
          <w:sz w:val="28"/>
          <w:szCs w:val="28"/>
        </w:rPr>
        <w:t>4,5 статьи 15 Закона Тульской области от 08 июля 2008 года № 1055-ЗТО «О регулировании отд</w:t>
      </w:r>
      <w:r>
        <w:rPr>
          <w:rFonts w:ascii="Times New Roman" w:hAnsi="Times New Roman"/>
          <w:sz w:val="28"/>
          <w:szCs w:val="28"/>
        </w:rPr>
        <w:t>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территориальная избирательная комиссия Алексинского района Тульской области, организующая допол</w:t>
      </w:r>
      <w:r>
        <w:rPr>
          <w:rFonts w:ascii="Times New Roman" w:hAnsi="Times New Roman"/>
          <w:sz w:val="28"/>
          <w:szCs w:val="28"/>
        </w:rPr>
        <w:t xml:space="preserve">нительные выборы депутатов Собрания депутатов муниципального образования город Алекси второго созыва по четырехмандатному избирательному округу № 2,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263538" w:rsidRPr="00E90A19" w:rsidRDefault="00ED0E9D">
      <w:pPr>
        <w:pStyle w:val="1"/>
        <w:spacing w:line="360" w:lineRule="auto"/>
        <w:ind w:firstLine="709"/>
        <w:jc w:val="both"/>
        <w:rPr>
          <w:b w:val="0"/>
          <w:bCs/>
          <w:lang w:val="ru-RU"/>
        </w:rPr>
      </w:pPr>
      <w:r w:rsidRPr="00E90A19">
        <w:rPr>
          <w:b w:val="0"/>
          <w:bCs/>
          <w:lang w:val="ru-RU"/>
        </w:rPr>
        <w:t>1.</w:t>
      </w:r>
      <w:r>
        <w:rPr>
          <w:b w:val="0"/>
          <w:bCs/>
        </w:rPr>
        <w:t> </w:t>
      </w:r>
      <w:r w:rsidRPr="00E90A19">
        <w:rPr>
          <w:b w:val="0"/>
          <w:bCs/>
          <w:lang w:val="ru-RU"/>
        </w:rPr>
        <w:t>Отказать в заверении перечня кандидатов в депутаты Собрания депутатов муниципального образ</w:t>
      </w:r>
      <w:r w:rsidRPr="00E90A19">
        <w:rPr>
          <w:b w:val="0"/>
          <w:bCs/>
          <w:lang w:val="ru-RU"/>
        </w:rPr>
        <w:t xml:space="preserve">ования город Алекси второго созыва по четырехмандатному избирательному округу № 2, выдвинутых </w:t>
      </w:r>
      <w:r w:rsidRPr="00E90A19">
        <w:rPr>
          <w:rStyle w:val="af0"/>
          <w:lang w:val="ru-RU"/>
        </w:rPr>
        <w:t xml:space="preserve">Алексинским местным отделением Тульского регионального отделения Политической партии </w:t>
      </w:r>
      <w:r w:rsidRPr="00E90A19">
        <w:rPr>
          <w:lang w:val="ru-RU"/>
        </w:rPr>
        <w:t xml:space="preserve">ЛДПР – </w:t>
      </w:r>
      <w:r w:rsidRPr="00E90A19">
        <w:rPr>
          <w:b w:val="0"/>
          <w:bCs/>
          <w:lang w:val="ru-RU"/>
        </w:rPr>
        <w:t>Либерально-демократической партии России» по четырехмандатному избират</w:t>
      </w:r>
      <w:r w:rsidRPr="00E90A19">
        <w:rPr>
          <w:b w:val="0"/>
          <w:bCs/>
          <w:lang w:val="ru-RU"/>
        </w:rPr>
        <w:t>ельному округу № 2.</w:t>
      </w:r>
    </w:p>
    <w:p w:rsidR="00263538" w:rsidRDefault="00ED0E9D">
      <w:pPr>
        <w:pStyle w:val="ad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90A19"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> </w:t>
      </w:r>
      <w:r w:rsidRPr="00E90A19">
        <w:rPr>
          <w:sz w:val="28"/>
          <w:szCs w:val="28"/>
          <w:lang w:val="ru-RU"/>
        </w:rPr>
        <w:t xml:space="preserve">Выдать копию настоящего постановления уполномоченному представителю </w:t>
      </w:r>
      <w:r>
        <w:rPr>
          <w:rStyle w:val="af0"/>
          <w:b w:val="0"/>
          <w:sz w:val="28"/>
          <w:szCs w:val="28"/>
        </w:rPr>
        <w:t xml:space="preserve">Алексинского местного отделения Тульского регионального отделения Политической партии </w:t>
      </w:r>
      <w:r>
        <w:rPr>
          <w:b/>
          <w:sz w:val="28"/>
          <w:szCs w:val="28"/>
        </w:rPr>
        <w:t xml:space="preserve">ЛДПР </w:t>
      </w:r>
      <w:r>
        <w:rPr>
          <w:sz w:val="28"/>
          <w:szCs w:val="28"/>
        </w:rPr>
        <w:t>в течение одних суток с момента принятия решения об отказе в заверении.</w:t>
      </w:r>
    </w:p>
    <w:p w:rsidR="00263538" w:rsidRPr="00E90A19" w:rsidRDefault="00ED0E9D">
      <w:pPr>
        <w:pStyle w:val="ad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E90A19">
        <w:rPr>
          <w:bCs/>
          <w:sz w:val="28"/>
          <w:szCs w:val="28"/>
          <w:lang w:val="ru-RU"/>
        </w:rPr>
        <w:lastRenderedPageBreak/>
        <w:t xml:space="preserve">3. Настоящее постановление разместить на официальном сайте  администрации муниципального образования город Алексин в разделе </w:t>
      </w:r>
      <w:r w:rsidRPr="00E90A19">
        <w:rPr>
          <w:sz w:val="28"/>
          <w:szCs w:val="28"/>
          <w:lang w:val="ru-RU"/>
        </w:rPr>
        <w:t>в разделе «Выборы».</w:t>
      </w:r>
    </w:p>
    <w:p w:rsidR="00263538" w:rsidRPr="00E90A19" w:rsidRDefault="00263538">
      <w:pPr>
        <w:pStyle w:val="ad"/>
        <w:tabs>
          <w:tab w:val="left" w:pos="1080"/>
        </w:tabs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  <w:lang w:val="ru-RU"/>
        </w:rPr>
      </w:pPr>
    </w:p>
    <w:tbl>
      <w:tblPr>
        <w:tblW w:w="9574" w:type="dxa"/>
        <w:tblLayout w:type="fixed"/>
        <w:tblLook w:val="04A0" w:firstRow="1" w:lastRow="0" w:firstColumn="1" w:lastColumn="0" w:noHBand="0" w:noVBand="1"/>
      </w:tblPr>
      <w:tblGrid>
        <w:gridCol w:w="3602"/>
        <w:gridCol w:w="2791"/>
        <w:gridCol w:w="3181"/>
      </w:tblGrid>
      <w:tr w:rsidR="00263538">
        <w:tc>
          <w:tcPr>
            <w:tcW w:w="3602" w:type="dxa"/>
          </w:tcPr>
          <w:p w:rsidR="00263538" w:rsidRPr="00E90A19" w:rsidRDefault="0026353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263538" w:rsidRDefault="00ED0E9D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791" w:type="dxa"/>
          </w:tcPr>
          <w:p w:rsidR="00263538" w:rsidRDefault="00263538">
            <w:pPr>
              <w:jc w:val="both"/>
              <w:rPr>
                <w:szCs w:val="28"/>
              </w:rPr>
            </w:pPr>
          </w:p>
        </w:tc>
        <w:tc>
          <w:tcPr>
            <w:tcW w:w="3181" w:type="dxa"/>
          </w:tcPr>
          <w:p w:rsidR="00263538" w:rsidRDefault="00263538">
            <w:pPr>
              <w:jc w:val="both"/>
              <w:rPr>
                <w:sz w:val="28"/>
                <w:szCs w:val="28"/>
              </w:rPr>
            </w:pPr>
          </w:p>
          <w:p w:rsidR="00263538" w:rsidRDefault="00ED0E9D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Е.Н. Журба</w:t>
            </w:r>
          </w:p>
        </w:tc>
      </w:tr>
      <w:tr w:rsidR="00263538">
        <w:tc>
          <w:tcPr>
            <w:tcW w:w="3602" w:type="dxa"/>
          </w:tcPr>
          <w:p w:rsidR="00263538" w:rsidRDefault="00263538">
            <w:pPr>
              <w:jc w:val="both"/>
              <w:rPr>
                <w:szCs w:val="28"/>
              </w:rPr>
            </w:pPr>
          </w:p>
          <w:p w:rsidR="00263538" w:rsidRDefault="00ED0E9D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791" w:type="dxa"/>
          </w:tcPr>
          <w:p w:rsidR="00263538" w:rsidRDefault="00263538">
            <w:pPr>
              <w:jc w:val="both"/>
              <w:rPr>
                <w:szCs w:val="28"/>
              </w:rPr>
            </w:pPr>
          </w:p>
        </w:tc>
        <w:tc>
          <w:tcPr>
            <w:tcW w:w="3181" w:type="dxa"/>
          </w:tcPr>
          <w:p w:rsidR="00263538" w:rsidRDefault="00263538">
            <w:pPr>
              <w:jc w:val="both"/>
              <w:rPr>
                <w:szCs w:val="28"/>
              </w:rPr>
            </w:pPr>
          </w:p>
          <w:p w:rsidR="00263538" w:rsidRDefault="00ED0E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Кулиничева </w:t>
            </w:r>
          </w:p>
        </w:tc>
      </w:tr>
    </w:tbl>
    <w:p w:rsidR="00263538" w:rsidRDefault="00263538">
      <w:pPr>
        <w:pStyle w:val="ad"/>
        <w:tabs>
          <w:tab w:val="left" w:pos="1080"/>
        </w:tabs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</w:p>
    <w:p w:rsidR="00263538" w:rsidRDefault="00263538">
      <w:pPr>
        <w:pStyle w:val="ad"/>
        <w:tabs>
          <w:tab w:val="left" w:pos="1080"/>
        </w:tabs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</w:p>
    <w:sectPr w:rsidR="00263538">
      <w:headerReference w:type="default" r:id="rId7"/>
      <w:pgSz w:w="11906" w:h="16838"/>
      <w:pgMar w:top="567" w:right="845" w:bottom="567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9D" w:rsidRDefault="00ED0E9D">
      <w:r>
        <w:separator/>
      </w:r>
    </w:p>
  </w:endnote>
  <w:endnote w:type="continuationSeparator" w:id="0">
    <w:p w:rsidR="00ED0E9D" w:rsidRDefault="00ED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9D" w:rsidRDefault="00ED0E9D">
      <w:r>
        <w:separator/>
      </w:r>
    </w:p>
  </w:footnote>
  <w:footnote w:type="continuationSeparator" w:id="0">
    <w:p w:rsidR="00ED0E9D" w:rsidRDefault="00ED0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538" w:rsidRDefault="00263538">
    <w:pPr>
      <w:pStyle w:val="ab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38"/>
    <w:rsid w:val="00263538"/>
    <w:rsid w:val="00E90A19"/>
    <w:rsid w:val="00ED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8A5EE88F-9E32-4CFA-A2B3-B48E8F14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paragraph" w:styleId="1">
    <w:name w:val="heading 1"/>
    <w:next w:val="a"/>
    <w:uiPriority w:val="9"/>
    <w:qFormat/>
    <w:pPr>
      <w:keepNext/>
      <w:spacing w:after="0"/>
      <w:jc w:val="center"/>
      <w:outlineLvl w:val="0"/>
    </w:pPr>
    <w:rPr>
      <w:b/>
      <w:sz w:val="28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overflowPunct w:val="0"/>
      <w:autoSpaceDE w:val="0"/>
      <w:autoSpaceDN w:val="0"/>
      <w:adjustRightInd w:val="0"/>
      <w:spacing w:before="120" w:line="360" w:lineRule="auto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pPr>
      <w:jc w:val="center"/>
    </w:pPr>
    <w:rPr>
      <w:b/>
      <w:sz w:val="28"/>
    </w:rPr>
  </w:style>
  <w:style w:type="paragraph" w:styleId="a7">
    <w:name w:val="Body Text Indent"/>
    <w:basedOn w:val="a"/>
    <w:link w:val="a8"/>
    <w:uiPriority w:val="99"/>
    <w:unhideWhenUsed/>
    <w:pPr>
      <w:spacing w:after="120"/>
      <w:ind w:left="283"/>
    </w:pPr>
  </w:style>
  <w:style w:type="paragraph" w:styleId="2">
    <w:name w:val="Body Text Indent 2"/>
    <w:semiHidden/>
    <w:unhideWhenUsed/>
    <w:pPr>
      <w:spacing w:after="0"/>
      <w:ind w:firstLine="720"/>
      <w:jc w:val="both"/>
    </w:pPr>
    <w:rPr>
      <w:rFonts w:eastAsia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paragraph" w:styleId="ad">
    <w:name w:val="Normal (Web)"/>
    <w:basedOn w:val="a"/>
    <w:semiHidden/>
    <w:unhideWhenUsed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Hyperlink"/>
    <w:basedOn w:val="a0"/>
    <w:uiPriority w:val="99"/>
    <w:unhideWhenUsed/>
    <w:rPr>
      <w:color w:val="0000FF"/>
      <w:u w:val="single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customStyle="1" w:styleId="af1">
    <w:name w:val="Таблица"/>
    <w:basedOn w:val="a"/>
    <w:rPr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/>
      <w:sz w:val="28"/>
    </w:rPr>
  </w:style>
  <w:style w:type="paragraph" w:customStyle="1" w:styleId="p17">
    <w:name w:val="p17"/>
    <w:pPr>
      <w:spacing w:after="120"/>
      <w:ind w:left="283"/>
    </w:pPr>
    <w:rPr>
      <w:rFonts w:eastAsia="Times New Roman"/>
      <w:sz w:val="24"/>
      <w:szCs w:val="24"/>
    </w:rPr>
  </w:style>
  <w:style w:type="paragraph" w:customStyle="1" w:styleId="p16">
    <w:name w:val="p16"/>
    <w:pPr>
      <w:spacing w:after="0"/>
      <w:jc w:val="center"/>
    </w:pPr>
    <w:rPr>
      <w:rFonts w:eastAsia="Times New Roman"/>
      <w:b/>
      <w:sz w:val="28"/>
      <w:szCs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/>
    </w:pPr>
    <w:rPr>
      <w:rFonts w:eastAsia="Times New Roman"/>
      <w:b/>
      <w:sz w:val="26"/>
      <w:szCs w:val="26"/>
    </w:rPr>
  </w:style>
  <w:style w:type="paragraph" w:customStyle="1" w:styleId="p0">
    <w:name w:val="p0"/>
    <w:pPr>
      <w:spacing w:after="200" w:line="271" w:lineRule="auto"/>
    </w:pPr>
    <w:rPr>
      <w:rFonts w:ascii="Calibri" w:eastAsia="Times New Roman" w:hAnsi="Calibri"/>
      <w:sz w:val="22"/>
      <w:szCs w:val="22"/>
    </w:rPr>
  </w:style>
  <w:style w:type="paragraph" w:customStyle="1" w:styleId="p15">
    <w:name w:val="p15"/>
    <w:pPr>
      <w:spacing w:after="200" w:line="266" w:lineRule="auto"/>
    </w:pPr>
    <w:rPr>
      <w:rFonts w:ascii="Calibri" w:eastAsia="Times New Roman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link10">
    <w:name w:val="link10"/>
    <w:basedOn w:val="a0"/>
    <w:rPr>
      <w:color w:val="0000CC"/>
      <w:u w:val="none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7">
    <w:name w:val="Знак Знак7"/>
    <w:rPr>
      <w:sz w:val="28"/>
      <w:lang w:bidi="ar-SA"/>
    </w:rPr>
  </w:style>
  <w:style w:type="character" w:customStyle="1" w:styleId="15">
    <w:name w:val="15"/>
    <w:rPr>
      <w:rFonts w:ascii="Times New Roman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</vt:lpstr>
    </vt:vector>
  </TitlesOfParts>
  <Company>Microsoft</Company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</dc:title>
  <dc:creator>Е.А. Шуянцева</dc:creator>
  <cp:lastModifiedBy>Римма Николаевна Назарова</cp:lastModifiedBy>
  <cp:revision>2</cp:revision>
  <cp:lastPrinted>2022-07-18T11:12:00Z</cp:lastPrinted>
  <dcterms:created xsi:type="dcterms:W3CDTF">2022-08-05T08:32:00Z</dcterms:created>
  <dcterms:modified xsi:type="dcterms:W3CDTF">2022-08-05T08:32:00Z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