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34" w:tblpY="1122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04 августа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</w:rPr>
              <w:t>32-6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</w:t>
      </w:r>
      <w:r>
        <w:rPr>
          <w:rFonts w:hint="default" w:cs="Times New Roman"/>
          <w:sz w:val="28"/>
          <w:szCs w:val="28"/>
        </w:rPr>
        <w:t xml:space="preserve"> Сергея Анатольевича</w:t>
      </w:r>
      <w:r>
        <w:rPr>
          <w:rFonts w:hint="default" w:cs="Times New Roman"/>
          <w:sz w:val="28"/>
          <w:szCs w:val="28"/>
          <w:lang/>
        </w:rPr>
        <w:t xml:space="preserve"> Гомзякова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кандидатом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Собрания депутатов муниципального образования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Алексин второго созыва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четырехмандатному избирательному округу № 2</w:t>
      </w:r>
    </w:p>
    <w:p>
      <w:pPr>
        <w:pStyle w:val="10"/>
        <w:widowControl/>
        <w:spacing w:before="0" w:beforeAutospacing="0" w:after="0" w:afterAutospacing="0"/>
        <w:ind w:left="0" w:right="0" w:firstLine="720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Рассмотрев документы, представленные 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9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для регистрации кандидата в депутаты Собрания депутатов муниципального образования город Алексин второго созыва, выдвинутого по четырехмандатному избирательному округу № 2 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города Алексин Тульской области,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Алексинского района Тульской области, осуществляя полномочия окружной избирательной комиссии по четырехмандатному избирательному округу № 2,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установила следующее.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 CYR" w:hAnsi="Times New Roman CYR" w:eastAsia="Times New Roman CYR" w:cs="Times New Roman CYR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>Гомзяков</w:t>
      </w:r>
      <w:r>
        <w:rPr>
          <w:rFonts w:hint="default" w:ascii="Times New Roman CYR" w:hAnsi="Times New Roman CYR" w:eastAsia="Times New Roman CYR" w:cs="Times New Roman CYR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 Сергей Анатольевич</w:t>
      </w: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выдвинут кандидатом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депутаты Собрания депутатов муниципального образования город Алексин второго созыва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города Алексин Тульской области  по четырехмандатному избирательному округу № 2 (перечень кандидатов заверен постановлением территориальной избирательной комиссии Алексинского района Тульской области от 26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№ 30-1).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27 июля 2022 года в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09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мин.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к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андидатом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С.А. Гомзяковым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в территориальную избирательную комиссию Алексинского района Тульской области представлены документы для уведомления о выдвижении по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</w:p>
    <w:p>
      <w:pPr>
        <w:pStyle w:val="10"/>
        <w:widowControl/>
        <w:snapToGrid w:val="0"/>
        <w:spacing w:before="0" w:beforeAutospacing="0" w:after="0" w:afterAutospacing="0" w:line="360" w:lineRule="auto"/>
        <w:ind w:right="0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</w:p>
    <w:p>
      <w:pPr>
        <w:pStyle w:val="10"/>
        <w:widowControl/>
        <w:snapToGrid w:val="0"/>
        <w:spacing w:before="0" w:beforeAutospacing="0" w:after="0" w:afterAutospacing="0" w:line="360" w:lineRule="auto"/>
        <w:ind w:right="0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четырехмандатному избирательному округу № 2, 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9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2022 г.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5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0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righ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мин. – 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Учитывая вышеизложенное, руководствуясь пунктом 18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Тульской области от 08 июля 2008 года №1055-ЗТО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осуществляя полномочия окружной избирательной комиссии по четырехмандатному избирательному округу № 2,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1. Зарегистрировать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омзякова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Сергея Анатольевича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, выдвинут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кандидатом в депутаты Собрания депутатов муниципального образования город Алексин второго созыва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города Алексин Тульской области  по четырехмандатному избирательному округу № 2 (время регистрации: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7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часов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минут).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2. Выдать зарегистрированному кандидату удостоверение установленного образца.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3. Настоящее постановление  разместить на официальном сайте администрации муниципального образования город Алексин в разделе Выборы.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auto"/>
    <w:pitch w:val="default"/>
    <w:sig w:usb0="E0003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2022-07-28T07:43:00Z</cp:lastPrinted>
  <dcterms:modified xsi:type="dcterms:W3CDTF">2022-08-03T11:08:42Z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