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9" w:tblpY="486"/>
        <w:tblOverlap w:val="never"/>
        <w:tblW w:w="9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652" w:type="dxa"/>
            <w:gridSpan w:val="4"/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52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ТЕРРИТОРИАЛЬНАЯ  ИЗБИРАТЕЛЬНАЯ 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 xml:space="preserve">АЛЕКСИНСКОГО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default"/>
                <w:sz w:val="28"/>
              </w:rPr>
              <w:t xml:space="preserve">       </w:t>
            </w:r>
            <w:r>
              <w:rPr>
                <w:rFonts w:hint="default"/>
                <w:sz w:val="28"/>
                <w:lang/>
              </w:rPr>
              <w:t>15</w:t>
            </w:r>
            <w:r>
              <w:rPr>
                <w:rFonts w:hint="default"/>
                <w:sz w:val="28"/>
              </w:rPr>
              <w:t xml:space="preserve"> августа </w:t>
            </w:r>
            <w:r>
              <w:rPr>
                <w:sz w:val="28"/>
              </w:rPr>
              <w:t>20</w:t>
            </w:r>
            <w:r>
              <w:rPr>
                <w:rFonts w:hint="default"/>
                <w:sz w:val="28"/>
              </w:rPr>
              <w:t>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314" w:type="dxa"/>
            <w:vAlign w:val="center"/>
          </w:tcPr>
          <w:p>
            <w:pPr>
              <w:pStyle w:val="9"/>
              <w:rPr>
                <w:rFonts w:hint="default"/>
                <w:bCs/>
                <w:sz w:val="28"/>
                <w:lang/>
              </w:rPr>
            </w:pPr>
            <w:r>
              <w:rPr>
                <w:rFonts w:hint="default"/>
                <w:bCs/>
                <w:sz w:val="28"/>
                <w:lang/>
              </w:rPr>
              <w:t>33-4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Алексин  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</w:p>
        </w:tc>
        <w:tc>
          <w:tcPr>
            <w:tcW w:w="2314" w:type="dxa"/>
            <w:vAlign w:val="center"/>
          </w:tcPr>
          <w:p>
            <w:pPr>
              <w:pStyle w:val="9"/>
              <w:rPr>
                <w:bCs/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pStyle w:val="12"/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>
      <w:pPr>
        <w:pStyle w:val="12"/>
        <w:widowControl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на дополнительных</w:t>
      </w:r>
      <w:r>
        <w:rPr>
          <w:rFonts w:hint="defaul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выборах депутатов  Собрания</w:t>
      </w:r>
      <w:r>
        <w:rPr>
          <w:rFonts w:hint="default"/>
          <w:b/>
          <w:sz w:val="28"/>
          <w:szCs w:val="28"/>
        </w:rPr>
        <w:t xml:space="preserve"> депутатов </w:t>
      </w:r>
    </w:p>
    <w:p>
      <w:pPr>
        <w:pStyle w:val="12"/>
        <w:widowControl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муниципального образования город Алексин  втор</w:t>
      </w:r>
      <w:r>
        <w:rPr>
          <w:b/>
          <w:sz w:val="28"/>
          <w:szCs w:val="28"/>
        </w:rPr>
        <w:t xml:space="preserve">ого созыва </w:t>
      </w:r>
    </w:p>
    <w:p>
      <w:pPr>
        <w:pStyle w:val="12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четырехмандатному избирательному округу № </w:t>
      </w:r>
      <w:r>
        <w:rPr>
          <w:rFonts w:hint="default"/>
          <w:b/>
          <w:sz w:val="28"/>
          <w:szCs w:val="28"/>
        </w:rPr>
        <w:t>2</w:t>
      </w:r>
    </w:p>
    <w:p>
      <w:pPr>
        <w:pStyle w:val="12"/>
        <w:widowControl/>
        <w:rPr>
          <w:sz w:val="28"/>
          <w:szCs w:val="28"/>
        </w:rPr>
      </w:pPr>
    </w:p>
    <w:p>
      <w:pPr>
        <w:pStyle w:val="12"/>
        <w:widowControl/>
        <w:spacing w:line="360" w:lineRule="auto"/>
        <w:ind w:left="0" w:firstLine="709"/>
        <w:jc w:val="both"/>
        <w:rPr>
          <w:sz w:val="23"/>
          <w:szCs w:val="23"/>
        </w:rPr>
      </w:pPr>
      <w:r>
        <w:rPr>
          <w:sz w:val="28"/>
          <w:szCs w:val="24"/>
        </w:rPr>
        <w:t xml:space="preserve">В соответствии со статьей 63 Федерального закона </w:t>
      </w:r>
      <w:r>
        <w:rPr>
          <w:sz w:val="28"/>
          <w:szCs w:val="28"/>
        </w:rPr>
        <w:t xml:space="preserve">от 12 июня 2002 года №67-ФЗ </w:t>
      </w:r>
      <w:r>
        <w:rPr>
          <w:sz w:val="28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 частью </w:t>
      </w:r>
      <w:r>
        <w:rPr>
          <w:rFonts w:hint="default"/>
          <w:sz w:val="28"/>
          <w:szCs w:val="24"/>
        </w:rPr>
        <w:t>2</w:t>
      </w:r>
      <w:r>
        <w:rPr>
          <w:sz w:val="28"/>
          <w:szCs w:val="24"/>
        </w:rPr>
        <w:t xml:space="preserve"> статьи 3</w:t>
      </w:r>
      <w:r>
        <w:rPr>
          <w:rFonts w:hint="default"/>
          <w:sz w:val="28"/>
          <w:szCs w:val="24"/>
        </w:rPr>
        <w:t>2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Закона Тульской области от </w:t>
      </w:r>
      <w:r>
        <w:rPr>
          <w:rFonts w:hint="default"/>
          <w:sz w:val="28"/>
          <w:szCs w:val="28"/>
        </w:rPr>
        <w:t>8 ию</w:t>
      </w:r>
      <w:r>
        <w:rPr>
          <w:sz w:val="28"/>
          <w:szCs w:val="28"/>
        </w:rPr>
        <w:t>ля 20</w:t>
      </w:r>
      <w:r>
        <w:rPr>
          <w:rFonts w:hint="default"/>
          <w:sz w:val="28"/>
          <w:szCs w:val="28"/>
        </w:rPr>
        <w:t>08</w:t>
      </w:r>
      <w:r>
        <w:rPr>
          <w:sz w:val="28"/>
          <w:szCs w:val="28"/>
        </w:rPr>
        <w:t xml:space="preserve"> года № 1</w:t>
      </w:r>
      <w:r>
        <w:rPr>
          <w:rFonts w:hint="default"/>
          <w:sz w:val="28"/>
          <w:szCs w:val="28"/>
        </w:rPr>
        <w:t>055</w:t>
      </w:r>
      <w:r>
        <w:rPr>
          <w:sz w:val="28"/>
          <w:szCs w:val="28"/>
        </w:rPr>
        <w:t xml:space="preserve">-ЗТО «О регулировании отдельных правоотношений, связанных с выборами депутатов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представительных органов муниципальных образований, членов иных выборных органов местного самоуправления»</w:t>
      </w:r>
      <w:r>
        <w:rPr>
          <w:rFonts w:hint="default" w:cs="Times New Roman"/>
          <w:sz w:val="28"/>
          <w:szCs w:val="28"/>
          <w:lang w:val="en-US" w:bidi="ar-SA"/>
        </w:rPr>
        <w:t xml:space="preserve"> </w:t>
      </w:r>
      <w:r>
        <w:rPr>
          <w:sz w:val="28"/>
          <w:szCs w:val="28"/>
        </w:rPr>
        <w:t>и постановлением</w:t>
      </w:r>
      <w:r>
        <w:rPr>
          <w:rFonts w:hint="default"/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 Алексинского</w:t>
      </w:r>
      <w:r>
        <w:rPr>
          <w:rFonts w:hint="default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Тульской области от </w:t>
      </w:r>
      <w:r>
        <w:rPr>
          <w:rFonts w:hint="default"/>
          <w:sz w:val="28"/>
          <w:szCs w:val="28"/>
          <w:lang/>
        </w:rPr>
        <w:t>15</w:t>
      </w:r>
      <w:r>
        <w:rPr>
          <w:sz w:val="28"/>
          <w:szCs w:val="28"/>
        </w:rPr>
        <w:t xml:space="preserve"> августа 20</w:t>
      </w:r>
      <w:r>
        <w:rPr>
          <w:rFonts w:hint="default"/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>
        <w:rPr>
          <w:rFonts w:hint="default"/>
          <w:sz w:val="28"/>
          <w:szCs w:val="28"/>
        </w:rPr>
        <w:t>33-1</w:t>
      </w:r>
      <w:r>
        <w:rPr>
          <w:sz w:val="28"/>
          <w:szCs w:val="28"/>
        </w:rPr>
        <w:t xml:space="preserve"> «О форме и требованиях к изготовлению избирательных бюллетеней для голосования на дополнительных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депутатов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Собрания депутатов муниципального образования город Алексин второго созыва</w:t>
      </w:r>
      <w:r>
        <w:rPr>
          <w:rFonts w:hint="default" w:cs="Times New Roman"/>
          <w:sz w:val="28"/>
          <w:szCs w:val="28"/>
          <w:lang w:val="en-US" w:bidi="ar-SA"/>
        </w:rPr>
        <w:t xml:space="preserve"> по четырехмандатному избирательному округу № 2</w:t>
      </w:r>
      <w:bookmarkStart w:id="0" w:name="_GoBack"/>
      <w:bookmarkEnd w:id="0"/>
      <w:r>
        <w:rPr>
          <w:sz w:val="28"/>
          <w:szCs w:val="28"/>
        </w:rPr>
        <w:t xml:space="preserve">» территориальная избирательная комиссия Алексинского района Тульской области, осуществляющая полномочия окружной избирательной комиссии  </w:t>
      </w:r>
      <w:r>
        <w:rPr>
          <w:rFonts w:hint="default" w:cs="Times New Roman"/>
          <w:sz w:val="28"/>
          <w:szCs w:val="28"/>
          <w:lang w:val="en-US" w:bidi="ar-SA"/>
        </w:rPr>
        <w:t xml:space="preserve"> по четырехмандатному избирательному округу № 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постановляет: </w:t>
      </w:r>
      <w:r>
        <w:rPr>
          <w:sz w:val="23"/>
          <w:szCs w:val="23"/>
        </w:rPr>
        <w:t xml:space="preserve"> </w:t>
      </w:r>
    </w:p>
    <w:p>
      <w:pPr>
        <w:pStyle w:val="12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3"/>
          <w:szCs w:val="23"/>
        </w:rPr>
        <w:t>1.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Утвердить текст избирательного бюллетеня для голосования на дополнительных</w:t>
      </w:r>
      <w:r>
        <w:rPr>
          <w:rFonts w:hint="default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выборах депутатов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Собрания депутатов муниципального образования город Алексин второго созыва</w:t>
      </w:r>
      <w:r>
        <w:rPr>
          <w:rFonts w:hint="default" w:cs="Times New Roman"/>
          <w:sz w:val="28"/>
          <w:szCs w:val="28"/>
          <w:lang w:val="en-US" w:bidi="ar-SA"/>
        </w:rPr>
        <w:t xml:space="preserve"> по четырехмандатному избирательному округу № 2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согласно приложению. </w:t>
      </w:r>
    </w:p>
    <w:p>
      <w:pPr>
        <w:pStyle w:val="12"/>
        <w:widowControl/>
        <w:spacing w:line="360" w:lineRule="auto"/>
        <w:ind w:left="0" w:firstLine="709"/>
        <w:jc w:val="both"/>
        <w:rPr>
          <w:rFonts w:hint="default"/>
          <w:color w:val="auto"/>
          <w:sz w:val="28"/>
          <w:szCs w:val="28"/>
        </w:rPr>
      </w:pPr>
    </w:p>
    <w:p>
      <w:pPr>
        <w:pStyle w:val="12"/>
        <w:widowControl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Контроль за исполнением настоящего постановления возложить на секретаря комиссии </w:t>
      </w:r>
      <w:r>
        <w:rPr>
          <w:rFonts w:hint="default"/>
          <w:color w:val="auto"/>
          <w:sz w:val="28"/>
          <w:szCs w:val="28"/>
        </w:rPr>
        <w:t xml:space="preserve"> Н.А. Кулиничеву</w:t>
      </w:r>
      <w:r>
        <w:rPr>
          <w:color w:val="auto"/>
          <w:sz w:val="28"/>
          <w:szCs w:val="28"/>
        </w:rPr>
        <w:t xml:space="preserve">. </w:t>
      </w:r>
    </w:p>
    <w:p>
      <w:pPr>
        <w:pStyle w:val="12"/>
        <w:widowControl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tbl>
      <w:tblPr>
        <w:tblW w:w="9375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4919" w:type="dxa"/>
            <w:vAlign w:val="top"/>
          </w:tcPr>
          <w:p>
            <w:pPr>
              <w:pStyle w:val="13"/>
              <w:widowControl/>
              <w:spacing w:line="360" w:lineRule="auto"/>
              <w:jc w:val="both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     </w:t>
            </w:r>
            <w:r>
              <w:rPr>
                <w:b w:val="0"/>
                <w:bCs/>
                <w:sz w:val="28"/>
                <w:lang w:eastAsia="en-US"/>
              </w:rPr>
              <w:t xml:space="preserve"> 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Секретарь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         Н.А. Кулиничева</w:t>
            </w:r>
          </w:p>
        </w:tc>
      </w:tr>
    </w:tbl>
    <w:p>
      <w:pPr>
        <w:pStyle w:val="12"/>
        <w:widowControl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sectPr>
      <w:headerReference r:id="rId4" w:type="default"/>
      <w:headerReference r:id="rId5" w:type="even"/>
      <w:pgSz w:w="11907" w:h="16840"/>
      <w:pgMar w:top="1134" w:right="1086" w:bottom="1134" w:left="170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Body Text Indent 2"/>
    <w:basedOn w:val="1"/>
    <w:link w:val="15"/>
    <w:semiHidden/>
    <w:uiPriority w:val="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  <w:szCs w:val="20"/>
    </w:rPr>
  </w:style>
  <w:style w:type="paragraph" w:styleId="5">
    <w:name w:val="footer"/>
    <w:basedOn w:val="1"/>
    <w:semiHidden/>
    <w:unhideWhenUsed/>
    <w:uiPriority w:val="0"/>
    <w:pPr>
      <w:tabs>
        <w:tab w:val="center" w:pos="4153"/>
        <w:tab w:val="right" w:pos="8306"/>
      </w:tabs>
    </w:pPr>
  </w:style>
  <w:style w:type="paragraph" w:styleId="6">
    <w:name w:val="header"/>
    <w:basedOn w:val="1"/>
    <w:link w:val="16"/>
    <w:semiHidden/>
    <w:uiPriority w:val="0"/>
    <w:pPr>
      <w:tabs>
        <w:tab w:val="center" w:pos="4677"/>
        <w:tab w:val="right" w:pos="9355"/>
      </w:tabs>
    </w:pPr>
  </w:style>
  <w:style w:type="character" w:styleId="8">
    <w:name w:val="page number"/>
    <w:basedOn w:val="7"/>
    <w:semiHidden/>
    <w:uiPriority w:val="0"/>
    <w:rPr/>
  </w:style>
  <w:style w:type="paragraph" w:customStyle="1" w:styleId="9">
    <w:name w:val="Таблица"/>
    <w:basedOn w:val="1"/>
    <w:uiPriority w:val="0"/>
    <w:rPr>
      <w:szCs w:val="20"/>
    </w:rPr>
  </w:style>
  <w:style w:type="paragraph" w:customStyle="1" w:styleId="10">
    <w:name w:val="14-15"/>
    <w:basedOn w:val="1"/>
    <w:uiPriority w:val="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Default"/>
    <w:uiPriority w:val="0"/>
    <w:pPr>
      <w:widowControl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14">
    <w:name w:val="Заголовок 1 Знак"/>
    <w:basedOn w:val="7"/>
    <w:link w:val="2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15">
    <w:name w:val="Основной текст с отступом 2 Знак"/>
    <w:basedOn w:val="7"/>
    <w:link w:val="4"/>
    <w:semiHidden/>
    <w:uiPriority w:val="0"/>
    <w:rPr>
      <w:rFonts w:ascii="Times New Roman" w:hAnsi="Times New Roman" w:eastAsia="Times New Roman" w:cs="Times New Roman"/>
      <w:sz w:val="27"/>
      <w:szCs w:val="20"/>
    </w:rPr>
  </w:style>
  <w:style w:type="character" w:customStyle="1" w:styleId="16">
    <w:name w:val="Верхний колонтитул Знак"/>
    <w:basedOn w:val="7"/>
    <w:link w:val="6"/>
    <w:semiHidden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Текст выноски Знак"/>
    <w:basedOn w:val="7"/>
    <w:link w:val="3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2383</Characters>
  <Lines>19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2018-06-15T13:23:00Z</dcterms:created>
  <dc:creator>Е.А. Шуянцева</dc:creator>
  <cp:lastModifiedBy>Izbirkom</cp:lastModifiedBy>
  <cp:lastPrinted>2020-01-15T07:29:00Z</cp:lastPrinted>
  <dcterms:modified xsi:type="dcterms:W3CDTF">2022-08-15T10:02:01Z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