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о проведен</w:t>
      </w:r>
      <w:proofErr w:type="gramStart"/>
      <w:r>
        <w:rPr>
          <w:rFonts w:ascii="PT Astra Serif;Times New Roman" w:hAnsi="PT Astra Serif;Times New Roman"/>
          <w:sz w:val="24"/>
        </w:rPr>
        <w:t>ии ау</w:t>
      </w:r>
      <w:proofErr w:type="gramEnd"/>
      <w:r>
        <w:rPr>
          <w:rFonts w:ascii="PT Astra Serif;Times New Roman" w:hAnsi="PT Astra Serif;Times New Roman"/>
          <w:sz w:val="24"/>
        </w:rPr>
        <w:t xml:space="preserve">кциона по продаже </w:t>
      </w:r>
      <w:r w:rsidR="007D39DA">
        <w:rPr>
          <w:rFonts w:ascii="PT Astra Serif;Times New Roman" w:hAnsi="PT Astra Serif;Times New Roman"/>
          <w:sz w:val="24"/>
        </w:rPr>
        <w:t xml:space="preserve">права </w:t>
      </w:r>
      <w:r>
        <w:rPr>
          <w:rFonts w:ascii="PT Astra Serif;Times New Roman" w:hAnsi="PT Astra Serif;Times New Roman"/>
          <w:sz w:val="24"/>
        </w:rPr>
        <w:t>на заключение договор</w:t>
      </w:r>
      <w:r w:rsidR="007D39DA">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C72A05">
        <w:rPr>
          <w:rFonts w:ascii="PT Astra Serif;Times New Roman" w:hAnsi="PT Astra Serif;Times New Roman"/>
          <w:sz w:val="24"/>
        </w:rPr>
        <w:t xml:space="preserve">ых </w:t>
      </w:r>
      <w:r>
        <w:rPr>
          <w:rFonts w:ascii="PT Astra Serif;Times New Roman" w:hAnsi="PT Astra Serif;Times New Roman"/>
          <w:sz w:val="24"/>
        </w:rPr>
        <w:t>участк</w:t>
      </w:r>
      <w:r w:rsidR="00C72A05">
        <w:rPr>
          <w:rFonts w:ascii="PT Astra Serif;Times New Roman" w:hAnsi="PT Astra Serif;Times New Roman"/>
          <w:sz w:val="24"/>
        </w:rPr>
        <w:t>ов</w:t>
      </w:r>
      <w:r>
        <w:rPr>
          <w:rFonts w:ascii="PT Astra Serif;Times New Roman" w:hAnsi="PT Astra Serif;Times New Roman"/>
          <w:sz w:val="24"/>
        </w:rPr>
        <w:t xml:space="preserve"> в электронной форме назначенных на</w:t>
      </w:r>
      <w:r>
        <w:rPr>
          <w:rStyle w:val="StrongEmphasis0"/>
          <w:rFonts w:ascii="PT Astra Serif;Times New Roman" w:hAnsi="PT Astra Serif;Times New Roman"/>
          <w:b/>
          <w:sz w:val="24"/>
        </w:rPr>
        <w:t xml:space="preserve"> </w:t>
      </w:r>
      <w:r w:rsidR="00BF41AB">
        <w:rPr>
          <w:rStyle w:val="StrongEmphasis0"/>
          <w:rFonts w:ascii="PT Astra Serif;Times New Roman" w:hAnsi="PT Astra Serif;Times New Roman"/>
          <w:b/>
          <w:sz w:val="24"/>
        </w:rPr>
        <w:t>20</w:t>
      </w:r>
      <w:r w:rsidRPr="00BE5764">
        <w:rPr>
          <w:rStyle w:val="StrongEmphasis0"/>
          <w:rFonts w:ascii="PT Astra Serif;Times New Roman" w:hAnsi="PT Astra Serif;Times New Roman"/>
          <w:b/>
          <w:sz w:val="24"/>
        </w:rPr>
        <w:t>.</w:t>
      </w:r>
      <w:r w:rsidR="00BF41AB">
        <w:rPr>
          <w:rStyle w:val="StrongEmphasis0"/>
          <w:rFonts w:ascii="PT Astra Serif;Times New Roman" w:hAnsi="PT Astra Serif;Times New Roman"/>
          <w:b/>
          <w:sz w:val="24"/>
        </w:rPr>
        <w:t>11</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w:t>
      </w:r>
      <w:proofErr w:type="gramStart"/>
      <w:r>
        <w:t>г</w:t>
      </w:r>
      <w:proofErr w:type="gramEnd"/>
      <w:r>
        <w:t xml:space="preserve">.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proofErr w:type="spellStart"/>
      <w:r>
        <w:t>kizo.aleksin@tularegion.ru</w:t>
      </w:r>
      <w:proofErr w:type="spellEnd"/>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от </w:t>
      </w:r>
      <w:r w:rsidR="00A86155" w:rsidRPr="00A86155">
        <w:t>03</w:t>
      </w:r>
      <w:r w:rsidRPr="00A86155">
        <w:t>.0</w:t>
      </w:r>
      <w:r w:rsidR="00A86155" w:rsidRPr="00A86155">
        <w:t>7</w:t>
      </w:r>
      <w:r w:rsidRPr="00A86155">
        <w:t>.2023</w:t>
      </w:r>
      <w:r w:rsidR="00BF41AB">
        <w:t xml:space="preserve"> № 1242</w:t>
      </w:r>
      <w:r w:rsidRPr="00A86155">
        <w:t>,</w:t>
      </w:r>
      <w:r>
        <w:t xml:space="preserve"> статьями 39.12 и 39.13 Земельного кодекса РФ объявляет аукцион </w:t>
      </w:r>
      <w:r>
        <w:rPr>
          <w:rStyle w:val="27"/>
        </w:rPr>
        <w:t>на право заключения договор</w:t>
      </w:r>
      <w:r w:rsidR="00C72A05">
        <w:rPr>
          <w:rStyle w:val="27"/>
        </w:rPr>
        <w:t>ов</w:t>
      </w:r>
      <w:r>
        <w:rPr>
          <w:rStyle w:val="27"/>
        </w:rPr>
        <w:t xml:space="preserve"> аренды </w:t>
      </w:r>
      <w:r>
        <w:t>земельн</w:t>
      </w:r>
      <w:r w:rsidR="00BF41AB">
        <w:t>ого</w:t>
      </w:r>
      <w:r>
        <w:t xml:space="preserve"> участк</w:t>
      </w:r>
      <w:r w:rsidR="00BF41AB">
        <w:t>а</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4F0676" w:rsidRDefault="004F0676" w:rsidP="000621A1">
      <w:pPr>
        <w:ind w:firstLine="708"/>
        <w:jc w:val="both"/>
        <w:rPr>
          <w:b/>
        </w:rPr>
      </w:pPr>
    </w:p>
    <w:p w:rsidR="000621A1" w:rsidRDefault="000621A1" w:rsidP="000621A1">
      <w:pPr>
        <w:ind w:firstLine="708"/>
        <w:jc w:val="both"/>
        <w:rPr>
          <w:b/>
        </w:rPr>
      </w:pPr>
      <w:r>
        <w:rPr>
          <w:b/>
        </w:rPr>
        <w:t>Лот №</w:t>
      </w:r>
      <w:r w:rsidR="004F0676">
        <w:rPr>
          <w:b/>
        </w:rPr>
        <w:t>1</w:t>
      </w:r>
      <w:r>
        <w:rPr>
          <w:b/>
        </w:rPr>
        <w:t>: з</w:t>
      </w:r>
      <w:r>
        <w:t>емельный участок из земель населенных пунктов с кадастровым номером 71:01:</w:t>
      </w:r>
      <w:r w:rsidR="006D136E">
        <w:t>021108</w:t>
      </w:r>
      <w:r>
        <w:t>:</w:t>
      </w:r>
      <w:r w:rsidR="006D136E">
        <w:t>835</w:t>
      </w:r>
      <w:r>
        <w:t xml:space="preserve">, общей площадью: </w:t>
      </w:r>
      <w:r w:rsidR="006D136E">
        <w:t>760</w:t>
      </w:r>
      <w:r>
        <w:t xml:space="preserve"> кв. м, расположенный по адресу: Российская Федерация, Тульская область, Алексинский район, </w:t>
      </w:r>
      <w:r w:rsidR="006D136E">
        <w:t>с.</w:t>
      </w:r>
      <w:r w:rsidR="001426E9">
        <w:t xml:space="preserve"> </w:t>
      </w:r>
      <w:proofErr w:type="spellStart"/>
      <w:r w:rsidR="006D136E">
        <w:t>Першино</w:t>
      </w:r>
      <w:proofErr w:type="spellEnd"/>
      <w:r>
        <w:t>, вид разрешенного использования: для ведения личного подсобного хозяйства. Форма собственности – не разграниченная.</w:t>
      </w:r>
    </w:p>
    <w:p w:rsidR="000621A1" w:rsidRDefault="000621A1" w:rsidP="000621A1">
      <w:pPr>
        <w:ind w:firstLine="709"/>
        <w:jc w:val="both"/>
      </w:pPr>
      <w:r>
        <w:rPr>
          <w:b/>
        </w:rPr>
        <w:t>Начальная цена:</w:t>
      </w:r>
      <w:r>
        <w:t xml:space="preserve"> (начальный размер годовой арендной платы за земельный участок) – </w:t>
      </w:r>
      <w:r w:rsidR="00B33CBF">
        <w:t>72 535</w:t>
      </w:r>
      <w:r>
        <w:t xml:space="preserve"> (</w:t>
      </w:r>
      <w:r w:rsidR="00B33CBF">
        <w:t>семьдесят две тысячи пятьсот тридцать пять</w:t>
      </w:r>
      <w:r>
        <w:t>) руб.</w:t>
      </w:r>
    </w:p>
    <w:p w:rsidR="000621A1" w:rsidRDefault="000621A1" w:rsidP="000621A1">
      <w:pPr>
        <w:ind w:firstLine="709"/>
        <w:jc w:val="both"/>
      </w:pPr>
      <w:r>
        <w:rPr>
          <w:b/>
        </w:rPr>
        <w:t>Сумма задатка</w:t>
      </w:r>
      <w:r>
        <w:t xml:space="preserve">:  25 % от начального размера годовой арендной платы – </w:t>
      </w:r>
      <w:r w:rsidR="00B33CBF">
        <w:t>18 133</w:t>
      </w:r>
      <w:r>
        <w:t xml:space="preserve"> (</w:t>
      </w:r>
      <w:r w:rsidR="00B33CBF">
        <w:t xml:space="preserve">восемнадцать </w:t>
      </w:r>
      <w:r>
        <w:t xml:space="preserve">тысяч </w:t>
      </w:r>
      <w:r w:rsidR="00B33CBF">
        <w:t>сто тридцать три</w:t>
      </w:r>
      <w:r>
        <w:t xml:space="preserve">) руб. </w:t>
      </w:r>
      <w:r w:rsidR="00B33CBF">
        <w:t>75</w:t>
      </w:r>
      <w:r>
        <w:t xml:space="preserve"> коп.</w:t>
      </w:r>
    </w:p>
    <w:p w:rsidR="000621A1" w:rsidRDefault="000621A1" w:rsidP="000621A1">
      <w:pPr>
        <w:ind w:firstLine="709"/>
        <w:jc w:val="both"/>
      </w:pPr>
      <w:r>
        <w:rPr>
          <w:b/>
        </w:rPr>
        <w:t>Шаг аукциона:</w:t>
      </w:r>
      <w:r>
        <w:t xml:space="preserve"> 3% от начального размера годовой арендной платы – </w:t>
      </w:r>
      <w:r w:rsidR="00B33CBF">
        <w:t xml:space="preserve">2 </w:t>
      </w:r>
      <w:r w:rsidR="009859FC">
        <w:t>176</w:t>
      </w:r>
      <w:r>
        <w:t xml:space="preserve"> (</w:t>
      </w:r>
      <w:r w:rsidR="00B33CBF">
        <w:t>две тысячи</w:t>
      </w:r>
      <w:r>
        <w:t xml:space="preserve"> </w:t>
      </w:r>
      <w:r w:rsidR="009859FC">
        <w:t>сто семьдесят шесть</w:t>
      </w:r>
      <w:r>
        <w:t xml:space="preserve">) руб. </w:t>
      </w:r>
      <w:r w:rsidR="00B33CBF">
        <w:t>05</w:t>
      </w:r>
      <w:r>
        <w:t xml:space="preserve"> коп.</w:t>
      </w:r>
    </w:p>
    <w:p w:rsidR="000621A1" w:rsidRDefault="000621A1" w:rsidP="000621A1">
      <w:pPr>
        <w:ind w:firstLine="540"/>
        <w:jc w:val="both"/>
      </w:pPr>
      <w:r>
        <w:rPr>
          <w:b/>
        </w:rPr>
        <w:t>Осмотр земельного участка</w:t>
      </w:r>
      <w:r>
        <w:t xml:space="preserve"> производится заявителями самостоятельно.</w:t>
      </w:r>
    </w:p>
    <w:p w:rsidR="000621A1" w:rsidRDefault="000621A1" w:rsidP="000621A1">
      <w:pPr>
        <w:spacing w:line="274" w:lineRule="exact"/>
        <w:ind w:firstLine="708"/>
        <w:jc w:val="both"/>
        <w:rPr>
          <w:rFonts w:eastAsia="Arial Unicode MS"/>
        </w:rPr>
      </w:pPr>
    </w:p>
    <w:p w:rsidR="000621A1" w:rsidRDefault="000621A1" w:rsidP="000621A1">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0621A1" w:rsidRDefault="000621A1" w:rsidP="000621A1">
      <w:pPr>
        <w:ind w:firstLine="540"/>
        <w:jc w:val="both"/>
        <w:rPr>
          <w:b/>
        </w:rPr>
      </w:pPr>
    </w:p>
    <w:p w:rsidR="000621A1" w:rsidRDefault="000621A1" w:rsidP="000621A1">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0621A1" w:rsidRPr="009C1D65" w:rsidRDefault="000621A1" w:rsidP="000621A1">
      <w:pPr>
        <w:shd w:val="clear" w:color="auto" w:fill="FFFFFF"/>
        <w:ind w:firstLine="720"/>
        <w:jc w:val="both"/>
        <w:rPr>
          <w:color w:val="212121"/>
          <w:szCs w:val="24"/>
        </w:rPr>
      </w:pPr>
    </w:p>
    <w:p w:rsidR="000621A1" w:rsidRDefault="000621A1" w:rsidP="000621A1">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szCs w:val="24"/>
        </w:rPr>
        <w:t xml:space="preserve"> Ж</w:t>
      </w:r>
      <w:proofErr w:type="gramStart"/>
      <w:r w:rsidRPr="009C1D65">
        <w:rPr>
          <w:color w:val="212121"/>
          <w:szCs w:val="24"/>
        </w:rPr>
        <w:t>1</w:t>
      </w:r>
      <w:proofErr w:type="gramEnd"/>
      <w:r w:rsidRPr="009C1D65">
        <w:rPr>
          <w:color w:val="212121"/>
          <w:szCs w:val="24"/>
        </w:rPr>
        <w:t>:</w:t>
      </w:r>
      <w:r w:rsidRPr="009C1D65">
        <w:rPr>
          <w:szCs w:val="24"/>
        </w:rPr>
        <w:t xml:space="preserve"> Зона застройки индивидуальными жилыми домами </w:t>
      </w:r>
      <w:proofErr w:type="spellStart"/>
      <w:r w:rsidRPr="009C1D65">
        <w:rPr>
          <w:szCs w:val="24"/>
        </w:rPr>
        <w:t>коттеджного</w:t>
      </w:r>
      <w:proofErr w:type="spellEnd"/>
      <w:r w:rsidRPr="009C1D65">
        <w:rPr>
          <w:szCs w:val="24"/>
        </w:rPr>
        <w:t xml:space="preserve"> и усадебного типа.</w:t>
      </w:r>
    </w:p>
    <w:p w:rsidR="000621A1" w:rsidRPr="001D1A79" w:rsidRDefault="000621A1" w:rsidP="000621A1">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0621A1" w:rsidRPr="001D1A79" w:rsidRDefault="000621A1" w:rsidP="000621A1">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0621A1" w:rsidRPr="001D1A79" w:rsidRDefault="000621A1" w:rsidP="000621A1">
            <w:pPr>
              <w:widowControl w:val="0"/>
              <w:autoSpaceDE w:val="0"/>
              <w:autoSpaceDN w:val="0"/>
              <w:adjustRightInd w:val="0"/>
              <w:jc w:val="center"/>
            </w:pPr>
            <w:r w:rsidRPr="001D1A79">
              <w:t xml:space="preserve">Наименование вида разрешенного </w:t>
            </w:r>
            <w:r w:rsidRPr="001D1A79">
              <w:lastRenderedPageBreak/>
              <w:t>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0621A1" w:rsidRPr="001D1A79" w:rsidRDefault="000621A1" w:rsidP="000621A1">
            <w:pPr>
              <w:widowControl w:val="0"/>
              <w:autoSpaceDE w:val="0"/>
              <w:autoSpaceDN w:val="0"/>
              <w:adjustRightInd w:val="0"/>
              <w:jc w:val="center"/>
            </w:pPr>
            <w:r w:rsidRPr="001D1A79">
              <w:lastRenderedPageBreak/>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0621A1" w:rsidRPr="001D1A79" w:rsidRDefault="000621A1" w:rsidP="000621A1">
            <w:pPr>
              <w:widowControl w:val="0"/>
              <w:autoSpaceDE w:val="0"/>
              <w:autoSpaceDN w:val="0"/>
              <w:adjustRightInd w:val="0"/>
              <w:jc w:val="center"/>
            </w:pPr>
            <w:r w:rsidRPr="001D1A79">
              <w:t>Код</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pPr>
            <w:r w:rsidRPr="001D1A79">
              <w:lastRenderedPageBreak/>
              <w:t>Основные виды разрешенного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2.2</w:t>
            </w:r>
          </w:p>
        </w:tc>
      </w:tr>
      <w:tr w:rsidR="000621A1" w:rsidRPr="001D1A79" w:rsidTr="000621A1">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0621A1" w:rsidRPr="001D1A79" w:rsidRDefault="000621A1" w:rsidP="000621A1">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2.3</w:t>
            </w:r>
          </w:p>
        </w:tc>
      </w:tr>
      <w:tr w:rsidR="000621A1" w:rsidRPr="001D1A79" w:rsidTr="000621A1">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0621A1" w:rsidRPr="001D1A79" w:rsidRDefault="000621A1" w:rsidP="000621A1">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2.1.1</w:t>
            </w:r>
          </w:p>
        </w:tc>
      </w:tr>
      <w:tr w:rsidR="000621A1" w:rsidRPr="001D1A79" w:rsidTr="000621A1">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r>
              <w:t xml:space="preserve">Религиозное </w:t>
            </w:r>
            <w:r>
              <w:lastRenderedPageBreak/>
              <w:t xml:space="preserve">использование </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lastRenderedPageBreak/>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t>3.7</w:t>
            </w:r>
          </w:p>
        </w:tc>
      </w:tr>
      <w:tr w:rsidR="000621A1" w:rsidRPr="001D1A79" w:rsidTr="000621A1">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9"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2.7.1</w:t>
            </w:r>
          </w:p>
        </w:tc>
      </w:tr>
      <w:tr w:rsidR="000621A1" w:rsidRPr="001D1A79" w:rsidTr="000621A1">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зданий и сооружений в целях обеспечения физических и юридических лиц коммунальными услугами. </w:t>
            </w:r>
          </w:p>
          <w:p w:rsidR="000621A1" w:rsidRPr="001D1A79" w:rsidRDefault="000621A1" w:rsidP="000621A1">
            <w:pPr>
              <w:jc w:val="both"/>
            </w:pPr>
          </w:p>
          <w:p w:rsidR="000621A1" w:rsidRPr="001D1A79" w:rsidRDefault="000621A1" w:rsidP="000621A1">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621A1" w:rsidRPr="001D1A79" w:rsidRDefault="000621A1" w:rsidP="000621A1">
            <w:pPr>
              <w:jc w:val="both"/>
            </w:pPr>
          </w:p>
          <w:p w:rsidR="000621A1" w:rsidRPr="001D1A79" w:rsidRDefault="000621A1" w:rsidP="000621A1">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3.1</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10" w:anchor="/document/70736874/entry/1031" w:history="1">
              <w:r w:rsidRPr="001D1A79">
                <w:t>кодами 3.1</w:t>
              </w:r>
            </w:hyperlink>
            <w:r w:rsidRPr="001D1A79">
              <w:t>, </w:t>
            </w:r>
            <w:hyperlink r:id="rId11" w:anchor="/document/70736874/entry/1032" w:history="1">
              <w:r w:rsidRPr="001D1A79">
                <w:t>3.2</w:t>
              </w:r>
            </w:hyperlink>
            <w:r w:rsidRPr="001D1A79">
              <w:t>, </w:t>
            </w:r>
            <w:hyperlink r:id="rId12" w:anchor="/document/70736874/entry/1033" w:history="1">
              <w:r w:rsidRPr="001D1A79">
                <w:t>3.3</w:t>
              </w:r>
            </w:hyperlink>
            <w:r w:rsidRPr="001D1A79">
              <w:t>, </w:t>
            </w:r>
            <w:hyperlink r:id="rId13" w:anchor="/document/70736874/entry/1034" w:history="1">
              <w:r w:rsidRPr="001D1A79">
                <w:t>3.4</w:t>
              </w:r>
            </w:hyperlink>
            <w:r w:rsidRPr="001D1A79">
              <w:t>, </w:t>
            </w:r>
            <w:hyperlink r:id="rId14" w:anchor="/document/70736874/entry/10341" w:history="1">
              <w:r w:rsidRPr="001D1A79">
                <w:t>3.4.1</w:t>
              </w:r>
            </w:hyperlink>
            <w:r w:rsidRPr="001D1A79">
              <w:t>, </w:t>
            </w:r>
            <w:hyperlink r:id="rId15" w:anchor="/document/70736874/entry/10351" w:history="1">
              <w:r w:rsidRPr="001D1A79">
                <w:t>3.5.1</w:t>
              </w:r>
            </w:hyperlink>
            <w:r w:rsidRPr="001D1A79">
              <w:t>, </w:t>
            </w:r>
            <w:hyperlink r:id="rId16" w:anchor="/document/70736874/entry/1036" w:history="1">
              <w:r w:rsidRPr="001D1A79">
                <w:t>3.6</w:t>
              </w:r>
            </w:hyperlink>
            <w:r w:rsidRPr="001D1A79">
              <w:t>,  </w:t>
            </w:r>
            <w:hyperlink r:id="rId17" w:anchor="/document/70736874/entry/1041" w:history="1">
              <w:r w:rsidRPr="001D1A79">
                <w:t>4.1</w:t>
              </w:r>
            </w:hyperlink>
            <w:r w:rsidRPr="001D1A79">
              <w:t>,  </w:t>
            </w:r>
            <w:hyperlink r:id="rId18" w:anchor="/document/70736874/entry/1046" w:history="1">
              <w:r w:rsidRPr="001D1A79">
                <w:t>4.6</w:t>
              </w:r>
            </w:hyperlink>
            <w:r w:rsidRPr="001D1A79">
              <w:t>, </w:t>
            </w:r>
            <w:hyperlink r:id="rId19" w:anchor="/document/70736874/entry/1512" w:history="1">
              <w:r w:rsidRPr="001D1A79">
                <w:t>5.1.2</w:t>
              </w:r>
            </w:hyperlink>
            <w:r w:rsidRPr="001D1A79">
              <w:t>, </w:t>
            </w:r>
            <w:hyperlink r:id="rId20"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3.1.2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Земельные участки общего пользования.</w:t>
            </w:r>
          </w:p>
          <w:p w:rsidR="000621A1" w:rsidRPr="001D1A79" w:rsidRDefault="000621A1" w:rsidP="000621A1">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21"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lastRenderedPageBreak/>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12.0.2</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21A1" w:rsidRPr="001D1A79" w:rsidRDefault="000621A1" w:rsidP="000621A1">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0621A1" w:rsidRPr="001D1A79" w:rsidRDefault="000621A1" w:rsidP="000621A1">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5.0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оказания гражданам социальной помощи.</w:t>
            </w:r>
          </w:p>
          <w:p w:rsidR="000621A1" w:rsidRPr="001D1A79" w:rsidRDefault="000621A1" w:rsidP="000621A1">
            <w:pPr>
              <w:jc w:val="both"/>
            </w:pP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p>
          <w:p w:rsidR="000621A1" w:rsidRPr="001D1A79" w:rsidRDefault="000621A1" w:rsidP="000621A1">
            <w:pPr>
              <w:widowControl w:val="0"/>
              <w:autoSpaceDE w:val="0"/>
              <w:autoSpaceDN w:val="0"/>
              <w:adjustRightInd w:val="0"/>
              <w:jc w:val="center"/>
            </w:pPr>
            <w:r w:rsidRPr="001D1A79">
              <w:t>3.2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0621A1" w:rsidRPr="001D1A79" w:rsidRDefault="000621A1" w:rsidP="000621A1">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t xml:space="preserve">Амбулаторно-поликлиническое </w:t>
            </w:r>
            <w:r w:rsidRPr="001D1A79">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lastRenderedPageBreak/>
              <w:t>Размещение объектов капитального строительства, предназначенных для оказания гражданам амбулаторно-</w:t>
            </w:r>
            <w:r w:rsidRPr="001D1A79">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lastRenderedPageBreak/>
              <w:t>3.4.1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0621A1" w:rsidRPr="001D1A79" w:rsidRDefault="000621A1" w:rsidP="000621A1">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3.4.2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3.5.1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3.6.1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3.6.2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3.8</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pStyle w:val="s16"/>
              <w:jc w:val="center"/>
            </w:pPr>
            <w:r w:rsidRPr="001D1A79">
              <w:t>3.8.1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1D1A79">
              <w:lastRenderedPageBreak/>
              <w:t>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lastRenderedPageBreak/>
              <w:t>4.1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4.5</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DC2FB3" w:rsidRDefault="000621A1" w:rsidP="000621A1">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0621A1" w:rsidRPr="00DC2FB3" w:rsidRDefault="000621A1" w:rsidP="000621A1">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2"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rPr>
                <w:color w:val="22272F"/>
                <w:sz w:val="26"/>
                <w:szCs w:val="26"/>
              </w:rPr>
            </w:pPr>
            <w:r w:rsidRPr="001D1A79">
              <w:rPr>
                <w:color w:val="22272F"/>
                <w:sz w:val="26"/>
                <w:szCs w:val="26"/>
              </w:rPr>
              <w:t>5.1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5.1.5</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w:t>
            </w:r>
            <w:r w:rsidRPr="001D1A79">
              <w:lastRenderedPageBreak/>
              <w:t>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lastRenderedPageBreak/>
              <w:t>2.4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3.7.1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3.7.2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3.10.1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anchor="/document/70736874/entry/1030" w:history="1">
              <w:r w:rsidRPr="001D1A79">
                <w:t>кодами 3.0</w:t>
              </w:r>
            </w:hyperlink>
            <w:r w:rsidRPr="001D1A79">
              <w:t>, </w:t>
            </w:r>
            <w:hyperlink r:id="rId24"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5"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1D1A79">
              <w:lastRenderedPageBreak/>
              <w:t>торговли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lastRenderedPageBreak/>
              <w:t>4.9.1.4</w:t>
            </w:r>
          </w:p>
        </w:tc>
      </w:tr>
      <w:tr w:rsidR="000621A1" w:rsidRPr="001D1A79" w:rsidTr="000621A1">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8.3</w:t>
            </w:r>
          </w:p>
        </w:tc>
      </w:tr>
      <w:tr w:rsidR="000621A1" w:rsidRPr="001D1A79" w:rsidTr="000621A1">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0621A1" w:rsidRPr="001D1A79" w:rsidRDefault="000621A1" w:rsidP="000621A1">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26" w:anchor="/document/70736874/entry/10271" w:history="1">
              <w:r w:rsidRPr="001D1A79">
                <w:t>кодами 2.7.1</w:t>
              </w:r>
            </w:hyperlink>
            <w:r w:rsidRPr="001D1A79">
              <w:t>, </w:t>
            </w:r>
            <w:hyperlink r:id="rId27" w:anchor="/document/70736874/entry/1049" w:history="1">
              <w:r w:rsidRPr="001D1A79">
                <w:t>4.9</w:t>
              </w:r>
            </w:hyperlink>
            <w:r w:rsidRPr="001D1A79">
              <w:t>, </w:t>
            </w:r>
            <w:hyperlink r:id="rId2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13.1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13.2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E16D68" w:rsidRDefault="000621A1" w:rsidP="000621A1">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21A1" w:rsidRPr="00E16D68" w:rsidRDefault="000621A1" w:rsidP="000621A1">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E16D68" w:rsidRDefault="000621A1" w:rsidP="000621A1">
            <w:pPr>
              <w:widowControl w:val="0"/>
              <w:autoSpaceDE w:val="0"/>
              <w:autoSpaceDN w:val="0"/>
              <w:adjustRightInd w:val="0"/>
              <w:jc w:val="center"/>
            </w:pPr>
            <w:r w:rsidRPr="00E16D68">
              <w:t>9.3</w:t>
            </w:r>
          </w:p>
        </w:tc>
      </w:tr>
    </w:tbl>
    <w:p w:rsidR="000621A1" w:rsidRPr="001D1A79" w:rsidRDefault="000621A1" w:rsidP="000621A1">
      <w:pPr>
        <w:widowControl w:val="0"/>
        <w:autoSpaceDE w:val="0"/>
        <w:autoSpaceDN w:val="0"/>
        <w:adjustRightInd w:val="0"/>
        <w:ind w:firstLine="540"/>
        <w:jc w:val="both"/>
        <w:rPr>
          <w:b/>
          <w:bCs/>
        </w:rPr>
      </w:pPr>
    </w:p>
    <w:p w:rsidR="000621A1" w:rsidRPr="009C1D65" w:rsidRDefault="000621A1" w:rsidP="000621A1">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0621A1" w:rsidRPr="009C1D65" w:rsidRDefault="000621A1" w:rsidP="000621A1">
      <w:pPr>
        <w:pStyle w:val="ae"/>
        <w:numPr>
          <w:ilvl w:val="0"/>
          <w:numId w:val="3"/>
        </w:numPr>
        <w:suppressAutoHyphens/>
        <w:spacing w:before="0" w:after="0"/>
        <w:jc w:val="both"/>
      </w:pPr>
      <w:r w:rsidRPr="009C1D65">
        <w:t>минимальная (максимальная) площадь земельных участков – 300(1500) кв.м.;</w:t>
      </w:r>
    </w:p>
    <w:p w:rsidR="000621A1" w:rsidRPr="009C1D65" w:rsidRDefault="000621A1" w:rsidP="000621A1">
      <w:pPr>
        <w:pStyle w:val="ae"/>
        <w:numPr>
          <w:ilvl w:val="0"/>
          <w:numId w:val="3"/>
        </w:numPr>
        <w:suppressAutoHyphens/>
        <w:spacing w:before="0" w:after="0"/>
        <w:jc w:val="both"/>
      </w:pPr>
      <w:r w:rsidRPr="009C1D65">
        <w:t>минимальная (максимальная) ширина земельного участка вдоль фронта улицы (проезда) – 10-40м;</w:t>
      </w:r>
    </w:p>
    <w:p w:rsidR="000621A1" w:rsidRPr="009C1D65" w:rsidRDefault="000621A1" w:rsidP="000621A1">
      <w:pPr>
        <w:pStyle w:val="ae"/>
        <w:numPr>
          <w:ilvl w:val="0"/>
          <w:numId w:val="3"/>
        </w:numPr>
        <w:suppressAutoHyphens/>
        <w:spacing w:before="0" w:after="0"/>
        <w:jc w:val="both"/>
      </w:pPr>
      <w:r w:rsidRPr="009C1D65">
        <w:t>максимальное количество этажей зданий- 3;</w:t>
      </w:r>
    </w:p>
    <w:p w:rsidR="000621A1" w:rsidRPr="009C1D65" w:rsidRDefault="000621A1" w:rsidP="000621A1">
      <w:pPr>
        <w:pStyle w:val="ae"/>
        <w:numPr>
          <w:ilvl w:val="0"/>
          <w:numId w:val="3"/>
        </w:numPr>
        <w:suppressAutoHyphens/>
        <w:spacing w:before="0" w:after="0"/>
        <w:jc w:val="both"/>
      </w:pPr>
      <w:r w:rsidRPr="009C1D65">
        <w:t>максимальная высота зданий от уровня земли до верха перекрытия последнего этажа – 12м;</w:t>
      </w:r>
    </w:p>
    <w:p w:rsidR="000621A1" w:rsidRPr="009C1D65" w:rsidRDefault="000621A1" w:rsidP="000621A1">
      <w:pPr>
        <w:pStyle w:val="ae"/>
        <w:numPr>
          <w:ilvl w:val="0"/>
          <w:numId w:val="3"/>
        </w:numPr>
        <w:suppressAutoHyphens/>
        <w:spacing w:before="0" w:after="0"/>
        <w:jc w:val="both"/>
      </w:pPr>
      <w:r w:rsidRPr="009C1D65">
        <w:t>максимальный процент застройки участка – 60%;</w:t>
      </w:r>
    </w:p>
    <w:p w:rsidR="000621A1" w:rsidRPr="009C1D65" w:rsidRDefault="000621A1" w:rsidP="000621A1">
      <w:pPr>
        <w:pStyle w:val="ae"/>
        <w:numPr>
          <w:ilvl w:val="0"/>
          <w:numId w:val="3"/>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0621A1" w:rsidRPr="009C1D65" w:rsidRDefault="000621A1" w:rsidP="000621A1">
      <w:pPr>
        <w:pStyle w:val="ae"/>
        <w:numPr>
          <w:ilvl w:val="0"/>
          <w:numId w:val="3"/>
        </w:numPr>
        <w:suppressAutoHyphens/>
        <w:spacing w:before="0" w:after="0"/>
        <w:jc w:val="both"/>
      </w:pPr>
      <w:r w:rsidRPr="009C1D65">
        <w:t>минимальный отступ от границ соседнего участка до жилого дома – 3 м;</w:t>
      </w:r>
    </w:p>
    <w:p w:rsidR="000621A1" w:rsidRPr="009C1D65" w:rsidRDefault="000621A1" w:rsidP="000621A1">
      <w:pPr>
        <w:pStyle w:val="ae"/>
        <w:numPr>
          <w:ilvl w:val="0"/>
          <w:numId w:val="3"/>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0621A1" w:rsidRPr="009C1D65" w:rsidRDefault="000621A1" w:rsidP="000621A1">
      <w:pPr>
        <w:pStyle w:val="ae"/>
        <w:numPr>
          <w:ilvl w:val="0"/>
          <w:numId w:val="3"/>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0621A1" w:rsidRPr="009C1D65" w:rsidRDefault="000621A1" w:rsidP="000621A1">
      <w:pPr>
        <w:pStyle w:val="ae"/>
        <w:numPr>
          <w:ilvl w:val="0"/>
          <w:numId w:val="3"/>
        </w:numPr>
        <w:suppressAutoHyphens/>
        <w:spacing w:before="0" w:after="0"/>
        <w:jc w:val="both"/>
      </w:pPr>
      <w:r w:rsidRPr="009C1D65">
        <w:t xml:space="preserve"> требования к ограждению земельных участков:</w:t>
      </w:r>
    </w:p>
    <w:p w:rsidR="000621A1" w:rsidRPr="009C1D65" w:rsidRDefault="000621A1" w:rsidP="000621A1">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0621A1" w:rsidRPr="009C1D65" w:rsidRDefault="000621A1" w:rsidP="000621A1">
      <w:pPr>
        <w:pStyle w:val="ae"/>
        <w:spacing w:before="0" w:after="0"/>
        <w:ind w:left="720"/>
        <w:jc w:val="both"/>
      </w:pPr>
      <w:r w:rsidRPr="009C1D65">
        <w:t>- высота ограждения земельных участок должна быть не более 2 метров;</w:t>
      </w:r>
    </w:p>
    <w:p w:rsidR="000621A1" w:rsidRPr="009C1D65" w:rsidRDefault="000621A1" w:rsidP="000621A1">
      <w:pPr>
        <w:pStyle w:val="ae"/>
        <w:spacing w:before="0" w:after="0"/>
        <w:ind w:left="720"/>
        <w:jc w:val="both"/>
      </w:pPr>
      <w:r w:rsidRPr="009C1D65">
        <w:t>- ограждение может быть глухим при согласии землепользователей смежных участков;</w:t>
      </w:r>
    </w:p>
    <w:p w:rsidR="000621A1" w:rsidRPr="009C1D65" w:rsidRDefault="000621A1" w:rsidP="000621A1">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0621A1" w:rsidRPr="009C1D65" w:rsidRDefault="000621A1" w:rsidP="000621A1">
      <w:pPr>
        <w:pStyle w:val="ae"/>
        <w:spacing w:before="0" w:after="0"/>
        <w:ind w:left="720"/>
        <w:jc w:val="both"/>
      </w:pPr>
      <w:r w:rsidRPr="009C1D65">
        <w:t>ограждение огорода при домовладении должно быть решетчатым;</w:t>
      </w:r>
    </w:p>
    <w:p w:rsidR="000621A1" w:rsidRPr="009C1D65" w:rsidRDefault="000621A1" w:rsidP="000621A1">
      <w:pPr>
        <w:shd w:val="clear" w:color="auto" w:fill="FFFFFF"/>
        <w:ind w:firstLine="708"/>
        <w:jc w:val="both"/>
        <w:rPr>
          <w:color w:val="212121"/>
          <w:szCs w:val="24"/>
        </w:rPr>
      </w:pPr>
      <w:r w:rsidRPr="009C1D65">
        <w:rPr>
          <w:szCs w:val="24"/>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0621A1" w:rsidRPr="009C1D65" w:rsidRDefault="000621A1" w:rsidP="000621A1">
      <w:pPr>
        <w:pStyle w:val="37"/>
        <w:rPr>
          <w:sz w:val="24"/>
          <w:szCs w:val="24"/>
        </w:rPr>
      </w:pPr>
      <w:r w:rsidRPr="009C1D65">
        <w:rPr>
          <w:sz w:val="24"/>
          <w:szCs w:val="24"/>
        </w:rPr>
        <w:t xml:space="preserve"> </w:t>
      </w:r>
    </w:p>
    <w:p w:rsidR="000621A1" w:rsidRDefault="000621A1" w:rsidP="000621A1">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0621A1" w:rsidRPr="009C1D65" w:rsidRDefault="000621A1" w:rsidP="000621A1">
      <w:pPr>
        <w:ind w:firstLine="708"/>
        <w:jc w:val="both"/>
        <w:rPr>
          <w:szCs w:val="24"/>
        </w:rPr>
      </w:pPr>
    </w:p>
    <w:p w:rsidR="000621A1" w:rsidRPr="009C1D65" w:rsidRDefault="000621A1" w:rsidP="000621A1">
      <w:pPr>
        <w:ind w:firstLine="708"/>
        <w:jc w:val="both"/>
        <w:rPr>
          <w:szCs w:val="24"/>
        </w:rPr>
      </w:pPr>
      <w:r w:rsidRPr="009C1D65">
        <w:rPr>
          <w:szCs w:val="24"/>
        </w:rPr>
        <w:t xml:space="preserve">- Технологическое присоединение </w:t>
      </w:r>
      <w:proofErr w:type="spellStart"/>
      <w:r w:rsidRPr="009C1D65">
        <w:rPr>
          <w:szCs w:val="24"/>
        </w:rPr>
        <w:t>энергопринимающих</w:t>
      </w:r>
      <w:proofErr w:type="spellEnd"/>
      <w:r w:rsidRPr="009C1D65">
        <w:rPr>
          <w:szCs w:val="24"/>
        </w:rPr>
        <w:t xml:space="preserve"> устройств к электрическим сетям регулируется «Правилами технологического присоединения </w:t>
      </w:r>
      <w:proofErr w:type="spellStart"/>
      <w:r w:rsidRPr="009C1D65">
        <w:rPr>
          <w:szCs w:val="24"/>
        </w:rPr>
        <w:t>энергопринимающих</w:t>
      </w:r>
      <w:proofErr w:type="spellEnd"/>
      <w:r w:rsidRPr="009C1D65">
        <w:rPr>
          <w:szCs w:val="24"/>
        </w:rPr>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rPr>
          <w:szCs w:val="24"/>
        </w:rPr>
        <w:t>электросетевого</w:t>
      </w:r>
      <w:proofErr w:type="spellEnd"/>
      <w:r w:rsidRPr="009C1D65">
        <w:rPr>
          <w:szCs w:val="24"/>
        </w:rPr>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0621A1" w:rsidRPr="009C1D65" w:rsidRDefault="000621A1" w:rsidP="000621A1">
      <w:pPr>
        <w:ind w:firstLine="708"/>
        <w:jc w:val="both"/>
        <w:rPr>
          <w:szCs w:val="24"/>
        </w:rPr>
      </w:pPr>
      <w:r w:rsidRPr="009C1D65">
        <w:rPr>
          <w:szCs w:val="24"/>
        </w:rPr>
        <w:t xml:space="preserve">Сведения по центрам питания можно получить на сайте </w:t>
      </w:r>
      <w:hyperlink r:id="rId29" w:history="1">
        <w:r w:rsidRPr="009C1D65">
          <w:rPr>
            <w:rStyle w:val="afa"/>
            <w:szCs w:val="24"/>
            <w:lang w:val="en-US"/>
          </w:rPr>
          <w:t>www</w:t>
        </w:r>
        <w:r w:rsidRPr="009C1D65">
          <w:rPr>
            <w:rStyle w:val="afa"/>
            <w:szCs w:val="24"/>
          </w:rPr>
          <w:t>.</w:t>
        </w:r>
        <w:proofErr w:type="spellStart"/>
        <w:r w:rsidRPr="009C1D65">
          <w:rPr>
            <w:rStyle w:val="afa"/>
            <w:szCs w:val="24"/>
            <w:lang w:val="en-US"/>
          </w:rPr>
          <w:t>mrsk</w:t>
        </w:r>
        <w:proofErr w:type="spellEnd"/>
        <w:r w:rsidRPr="009C1D65">
          <w:rPr>
            <w:rStyle w:val="afa"/>
            <w:szCs w:val="24"/>
          </w:rPr>
          <w:t>-</w:t>
        </w:r>
        <w:r w:rsidRPr="009C1D65">
          <w:rPr>
            <w:rStyle w:val="afa"/>
            <w:szCs w:val="24"/>
            <w:lang w:val="en-US"/>
          </w:rPr>
          <w:t>cp</w:t>
        </w:r>
        <w:r w:rsidRPr="009C1D65">
          <w:rPr>
            <w:rStyle w:val="afa"/>
            <w:szCs w:val="24"/>
          </w:rPr>
          <w:t>.</w:t>
        </w:r>
        <w:proofErr w:type="spellStart"/>
        <w:r w:rsidRPr="009C1D65">
          <w:rPr>
            <w:rStyle w:val="afa"/>
            <w:szCs w:val="24"/>
            <w:lang w:val="en-US"/>
          </w:rPr>
          <w:t>ru</w:t>
        </w:r>
        <w:proofErr w:type="spellEnd"/>
      </w:hyperlink>
      <w:r w:rsidRPr="009C1D65">
        <w:rPr>
          <w:szCs w:val="24"/>
        </w:rPr>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rPr>
          <w:szCs w:val="24"/>
        </w:rPr>
        <w:t>Тулэнерго</w:t>
      </w:r>
      <w:proofErr w:type="spellEnd"/>
      <w:r w:rsidRPr="009C1D65">
        <w:rPr>
          <w:szCs w:val="24"/>
        </w:rPr>
        <w:t xml:space="preserve">». В таблице приведен перечень центров питания филиала </w:t>
      </w:r>
      <w:proofErr w:type="spellStart"/>
      <w:r w:rsidRPr="009C1D65">
        <w:rPr>
          <w:szCs w:val="24"/>
        </w:rPr>
        <w:t>Тулэнерго</w:t>
      </w:r>
      <w:proofErr w:type="spellEnd"/>
      <w:r w:rsidRPr="009C1D65">
        <w:rPr>
          <w:szCs w:val="24"/>
        </w:rPr>
        <w:t xml:space="preserve"> с указанием текущего и перспективного для ТП резервов и других данных. Информация обновляется ежеквартально.</w:t>
      </w:r>
    </w:p>
    <w:p w:rsidR="000621A1" w:rsidRDefault="000621A1" w:rsidP="000621A1">
      <w:pPr>
        <w:ind w:firstLine="708"/>
        <w:jc w:val="both"/>
        <w:rPr>
          <w:szCs w:val="24"/>
        </w:rPr>
      </w:pPr>
      <w:r w:rsidRPr="009C1D65">
        <w:rPr>
          <w:szCs w:val="24"/>
        </w:rPr>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0621A1" w:rsidRDefault="000621A1" w:rsidP="000621A1">
      <w:pPr>
        <w:pStyle w:val="ae"/>
        <w:spacing w:before="0" w:after="0"/>
        <w:ind w:firstLine="708"/>
        <w:jc w:val="both"/>
      </w:pPr>
      <w:r w:rsidRPr="00566F34">
        <w:t xml:space="preserve">По сведениям МКП «АРЦКО» </w:t>
      </w:r>
      <w:r>
        <w:t xml:space="preserve">централизованных </w:t>
      </w:r>
      <w:r w:rsidRPr="00566F34">
        <w:t>сетей</w:t>
      </w:r>
      <w:r>
        <w:t xml:space="preserve"> </w:t>
      </w:r>
      <w:proofErr w:type="gramStart"/>
      <w:r>
        <w:t>водоснабжения</w:t>
      </w:r>
      <w:proofErr w:type="gramEnd"/>
      <w:r>
        <w:t xml:space="preserve"> </w:t>
      </w:r>
      <w:r w:rsidRPr="00566F34">
        <w:t>обслуживаемы</w:t>
      </w:r>
      <w:r w:rsidR="00B33CBF">
        <w:t xml:space="preserve">е </w:t>
      </w:r>
      <w:r w:rsidRPr="00566F34">
        <w:t xml:space="preserve">МКП «АРЦКО» </w:t>
      </w:r>
      <w:r w:rsidR="00B33CBF">
        <w:t>имеются</w:t>
      </w:r>
      <w:r w:rsidRPr="00566F34">
        <w:t>.</w:t>
      </w:r>
    </w:p>
    <w:p w:rsidR="000621A1" w:rsidRDefault="000621A1" w:rsidP="000621A1">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0621A1" w:rsidRDefault="000621A1" w:rsidP="000621A1">
      <w:pPr>
        <w:pStyle w:val="ae"/>
        <w:spacing w:before="0" w:after="0"/>
        <w:ind w:firstLine="708"/>
        <w:jc w:val="both"/>
      </w:pPr>
      <w:r>
        <w:lastRenderedPageBreak/>
        <w:t xml:space="preserve">Распределительный подземный стальной газопровод </w:t>
      </w:r>
      <w:r w:rsidR="00B33CBF">
        <w:t>низкого</w:t>
      </w:r>
      <w:r>
        <w:t xml:space="preserve"> давления (Рпр-0,</w:t>
      </w:r>
      <w:r w:rsidR="00B33CBF">
        <w:t>005</w:t>
      </w:r>
      <w:r>
        <w:t>МПа, Рф-0,</w:t>
      </w:r>
      <w:r w:rsidR="00B33CBF">
        <w:t>001</w:t>
      </w:r>
      <w:r>
        <w:t>8МПа</w:t>
      </w:r>
      <w:proofErr w:type="gramStart"/>
      <w:r>
        <w:t>)Ф</w:t>
      </w:r>
      <w:proofErr w:type="gramEnd"/>
      <w:r w:rsidR="00B33CBF">
        <w:t>57</w:t>
      </w:r>
      <w:r>
        <w:t xml:space="preserve">мм, проложенный по адресу: Тульская область, Алексинский район, </w:t>
      </w:r>
      <w:proofErr w:type="spellStart"/>
      <w:r>
        <w:t>д</w:t>
      </w:r>
      <w:r w:rsidR="00B33CBF">
        <w:t>с</w:t>
      </w:r>
      <w:proofErr w:type="gramStart"/>
      <w:r w:rsidR="00B33CBF">
        <w:t>.П</w:t>
      </w:r>
      <w:proofErr w:type="gramEnd"/>
      <w:r w:rsidR="00B33CBF">
        <w:t>ершино</w:t>
      </w:r>
      <w:proofErr w:type="spellEnd"/>
      <w:r w:rsidR="00B33CBF">
        <w:t>.</w:t>
      </w:r>
    </w:p>
    <w:p w:rsidR="000621A1" w:rsidRDefault="000621A1" w:rsidP="000621A1">
      <w:pPr>
        <w:pStyle w:val="ae"/>
        <w:spacing w:before="0" w:after="0"/>
        <w:ind w:firstLine="708"/>
        <w:jc w:val="both"/>
      </w:pPr>
      <w:r>
        <w:t xml:space="preserve">Газопровод находится в собственности </w:t>
      </w:r>
      <w:r w:rsidR="00B33CBF">
        <w:t>Администрации МО город Алексин.</w:t>
      </w:r>
    </w:p>
    <w:p w:rsidR="000621A1" w:rsidRDefault="000621A1" w:rsidP="000621A1">
      <w:pPr>
        <w:pStyle w:val="ae"/>
        <w:spacing w:before="0" w:after="0"/>
        <w:ind w:firstLine="708"/>
        <w:jc w:val="both"/>
      </w:pPr>
      <w:r>
        <w:t xml:space="preserve">Источник газоснабжения – ГРС </w:t>
      </w:r>
      <w:proofErr w:type="spellStart"/>
      <w:r w:rsidR="00B33CBF">
        <w:t>Ново-Павшино</w:t>
      </w:r>
      <w:proofErr w:type="spellEnd"/>
      <w:r>
        <w:t>.</w:t>
      </w:r>
    </w:p>
    <w:p w:rsidR="000621A1" w:rsidRDefault="000621A1" w:rsidP="000621A1">
      <w:pPr>
        <w:pStyle w:val="ae"/>
        <w:spacing w:before="0" w:after="0"/>
        <w:ind w:firstLine="708"/>
        <w:jc w:val="both"/>
      </w:pPr>
      <w:r>
        <w:t>Ориентировочное расстояние от места врезки до объекта – 2</w:t>
      </w:r>
      <w:r w:rsidR="00B33CBF">
        <w:t>5</w:t>
      </w:r>
      <w:r>
        <w:t xml:space="preserve"> метров.</w:t>
      </w:r>
    </w:p>
    <w:p w:rsidR="000621A1" w:rsidRDefault="000621A1" w:rsidP="000621A1">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0621A1" w:rsidRDefault="000621A1" w:rsidP="000621A1">
      <w:pPr>
        <w:pStyle w:val="ae"/>
        <w:spacing w:before="0" w:after="0"/>
        <w:ind w:firstLine="708"/>
        <w:jc w:val="both"/>
      </w:pPr>
      <w:r>
        <w:t>Данные расчеты выполнены на максимальный  часовой расход газа 5,0м3/час</w:t>
      </w:r>
    </w:p>
    <w:p w:rsidR="00B33CBF" w:rsidRDefault="000621A1" w:rsidP="00B33CBF">
      <w:pPr>
        <w:jc w:val="both"/>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w:t>
      </w:r>
      <w:r w:rsidR="00B33CBF">
        <w:rPr>
          <w:rFonts w:ascii="PT Astra Serif;Times New Roman" w:hAnsi="PT Astra Serif;Times New Roman"/>
          <w:color w:val="010101"/>
        </w:rPr>
        <w:t>Подключение объектов капитального строительства  к сетям инженерно-технического обеспечения ПА</w:t>
      </w:r>
      <w:proofErr w:type="gramStart"/>
      <w:r w:rsidR="00B33CBF">
        <w:rPr>
          <w:rFonts w:ascii="PT Astra Serif;Times New Roman" w:hAnsi="PT Astra Serif;Times New Roman"/>
          <w:color w:val="010101"/>
        </w:rPr>
        <w:t>О"</w:t>
      </w:r>
      <w:proofErr w:type="gramEnd"/>
      <w:r w:rsidR="00B33CBF">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p>
    <w:p w:rsidR="00B33CBF" w:rsidRDefault="00B33CBF" w:rsidP="00B33CBF">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B33CBF" w:rsidRDefault="00B33CBF" w:rsidP="00B33CBF">
      <w:pPr>
        <w:pStyle w:val="afd"/>
        <w:ind w:firstLine="709"/>
        <w:rPr>
          <w:rFonts w:ascii="PT Astra Serif;Times New Roman" w:hAnsi="PT Astra Serif;Times New Roman"/>
          <w:color w:val="010101"/>
          <w:sz w:val="24"/>
        </w:rPr>
      </w:pPr>
      <w:r>
        <w:rPr>
          <w:rFonts w:ascii="PT Astra Serif;Times New Roman" w:hAnsi="PT Astra Serif;Times New Roman"/>
          <w:color w:val="010101"/>
          <w:sz w:val="24"/>
        </w:rPr>
        <w:t>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(технологического присоединения) не менее 12 месяцев.</w:t>
      </w:r>
    </w:p>
    <w:p w:rsidR="000621A1" w:rsidRDefault="000621A1" w:rsidP="00B33CBF">
      <w:pPr>
        <w:jc w:val="both"/>
        <w:rPr>
          <w:rFonts w:ascii="PT Astra Serif;Times New Roman" w:hAnsi="PT Astra Serif;Times New Roman"/>
          <w:color w:val="010101"/>
        </w:rPr>
      </w:pPr>
    </w:p>
    <w:p w:rsidR="000621A1" w:rsidRDefault="000621A1" w:rsidP="000621A1">
      <w:pPr>
        <w:pStyle w:val="afd"/>
        <w:ind w:firstLine="709"/>
        <w:rPr>
          <w:rFonts w:ascii="PT Astra Serif;Times New Roman" w:hAnsi="PT Astra Serif;Times New Roman"/>
          <w:b/>
          <w:color w:val="010101"/>
          <w:sz w:val="24"/>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B33CBF" w:rsidRDefault="00B33CBF" w:rsidP="000621A1">
      <w:pPr>
        <w:pStyle w:val="afd"/>
        <w:ind w:firstLine="709"/>
        <w:rPr>
          <w:rFonts w:ascii="PT Astra Serif;Times New Roman" w:hAnsi="PT Astra Serif;Times New Roman"/>
          <w:b/>
          <w:color w:val="010101"/>
          <w:sz w:val="24"/>
        </w:rPr>
      </w:pPr>
    </w:p>
    <w:p w:rsidR="000621A1" w:rsidRDefault="000621A1" w:rsidP="00EC3AA8">
      <w:pPr>
        <w:pStyle w:val="afd"/>
        <w:ind w:firstLine="709"/>
        <w:rPr>
          <w:rFonts w:ascii="PT Astra Serif;Times New Roman" w:hAnsi="PT Astra Serif;Times New Roman"/>
          <w:b/>
          <w:color w:val="010101"/>
          <w:sz w:val="24"/>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4F0676">
        <w:rPr>
          <w:rFonts w:ascii="PT Astra Serif;Times New Roman" w:hAnsi="PT Astra Serif;Times New Roman"/>
        </w:rPr>
        <w:t>16</w:t>
      </w:r>
      <w:r w:rsidRPr="00EC3AA8">
        <w:rPr>
          <w:rFonts w:ascii="PT Astra Serif;Times New Roman" w:hAnsi="PT Astra Serif;Times New Roman"/>
        </w:rPr>
        <w:t xml:space="preserve">» </w:t>
      </w:r>
      <w:r w:rsidR="004F0676">
        <w:rPr>
          <w:rFonts w:ascii="PT Astra Serif;Times New Roman" w:hAnsi="PT Astra Serif;Times New Roman"/>
        </w:rPr>
        <w:t>октября</w:t>
      </w:r>
      <w:r w:rsidRPr="00EC3AA8">
        <w:rPr>
          <w:rFonts w:ascii="PT Astra Serif;Times New Roman" w:hAnsi="PT Astra Serif;Times New Roman"/>
        </w:rPr>
        <w:t xml:space="preserve">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4F0676">
        <w:rPr>
          <w:rFonts w:ascii="PT Astra Serif;Times New Roman" w:hAnsi="PT Astra Serif;Times New Roman"/>
        </w:rPr>
        <w:t>14</w:t>
      </w:r>
      <w:r w:rsidRPr="00EC3AA8">
        <w:rPr>
          <w:rFonts w:ascii="PT Astra Serif;Times New Roman" w:hAnsi="PT Astra Serif;Times New Roman"/>
        </w:rPr>
        <w:t xml:space="preserve">» </w:t>
      </w:r>
      <w:r w:rsidR="004F0676">
        <w:rPr>
          <w:rFonts w:ascii="PT Astra Serif;Times New Roman" w:hAnsi="PT Astra Serif;Times New Roman"/>
        </w:rPr>
        <w:t>ноября</w:t>
      </w:r>
      <w:r w:rsidRPr="00EC3AA8">
        <w:rPr>
          <w:rFonts w:ascii="PT Astra Serif;Times New Roman" w:hAnsi="PT Astra Serif;Times New Roman"/>
        </w:rPr>
        <w:t xml:space="preserve"> 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4F0676">
        <w:rPr>
          <w:rFonts w:ascii="PT Astra Serif;Times New Roman" w:hAnsi="PT Astra Serif;Times New Roman"/>
        </w:rPr>
        <w:t>15</w:t>
      </w:r>
      <w:r w:rsidRPr="00EC3AA8">
        <w:rPr>
          <w:rFonts w:ascii="PT Astra Serif;Times New Roman" w:hAnsi="PT Astra Serif;Times New Roman"/>
        </w:rPr>
        <w:t xml:space="preserve">» </w:t>
      </w:r>
      <w:r w:rsidR="004F0676">
        <w:rPr>
          <w:rFonts w:ascii="PT Astra Serif;Times New Roman" w:hAnsi="PT Astra Serif;Times New Roman"/>
        </w:rPr>
        <w:t>ноября</w:t>
      </w:r>
      <w:r w:rsidRPr="00EC3AA8">
        <w:rPr>
          <w:rFonts w:ascii="PT Astra Serif;Times New Roman" w:hAnsi="PT Astra Serif;Times New Roman"/>
        </w:rPr>
        <w:t xml:space="preserve">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w:t>
      </w:r>
      <w:proofErr w:type="gramStart"/>
      <w:r w:rsidRPr="00EC3AA8">
        <w:t>дств в р</w:t>
      </w:r>
      <w:proofErr w:type="gramEnd"/>
      <w:r w:rsidRPr="00EC3AA8">
        <w:t>азмере задатка на своем лицевом счете на электронной площадке: «</w:t>
      </w:r>
      <w:r w:rsidR="004F0676">
        <w:t>15</w:t>
      </w:r>
      <w:r w:rsidRPr="00EC3AA8">
        <w:t xml:space="preserve">» </w:t>
      </w:r>
      <w:r w:rsidR="004F0676">
        <w:t>ноября</w:t>
      </w:r>
      <w:r w:rsidRPr="00EC3AA8">
        <w:t xml:space="preserve">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4F0676">
        <w:rPr>
          <w:rFonts w:ascii="PT Astra Serif;Times New Roman" w:hAnsi="PT Astra Serif;Times New Roman"/>
        </w:rPr>
        <w:t>20</w:t>
      </w:r>
      <w:r w:rsidRPr="00EC3AA8">
        <w:rPr>
          <w:rFonts w:ascii="PT Astra Serif;Times New Roman" w:hAnsi="PT Astra Serif;Times New Roman"/>
        </w:rPr>
        <w:t xml:space="preserve">» </w:t>
      </w:r>
      <w:r w:rsidR="004F0676">
        <w:rPr>
          <w:rFonts w:ascii="PT Astra Serif;Times New Roman" w:hAnsi="PT Astra Serif;Times New Roman"/>
        </w:rPr>
        <w:t>ноября</w:t>
      </w:r>
      <w:r w:rsidRPr="00EC3AA8">
        <w:rPr>
          <w:rFonts w:ascii="PT Astra Serif;Times New Roman" w:hAnsi="PT Astra Serif;Times New Roman"/>
        </w:rPr>
        <w:t xml:space="preserve"> 2023 г. в 1</w:t>
      </w:r>
      <w:r w:rsidR="004F0676">
        <w:rPr>
          <w:rFonts w:ascii="PT Astra Serif;Times New Roman" w:hAnsi="PT Astra Serif;Times New Roman"/>
        </w:rPr>
        <w:t>0</w:t>
      </w:r>
      <w:r w:rsidRPr="00EC3AA8">
        <w:rPr>
          <w:rFonts w:ascii="PT Astra Serif;Times New Roman" w:hAnsi="PT Astra Serif;Times New Roman"/>
        </w:rPr>
        <w:t xml:space="preserve">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 xml:space="preserve">В случае успешного принятия заявки Оператор направляет в Личный кабинет </w:t>
      </w:r>
      <w:r>
        <w:rPr>
          <w:rFonts w:ascii="PT Astra Serif;Times New Roman" w:hAnsi="PT Astra Serif;Times New Roman"/>
          <w:sz w:val="24"/>
        </w:rPr>
        <w:lastRenderedPageBreak/>
        <w:t>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xml:space="preserve">»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w:t>
      </w:r>
      <w:r>
        <w:rPr>
          <w:rFonts w:ascii="PT Astra Serif;Times New Roman" w:hAnsi="PT Astra Serif;Times New Roman"/>
        </w:rPr>
        <w:lastRenderedPageBreak/>
        <w:t xml:space="preserve">ознакомиться на электронной площадке по адресу: </w:t>
      </w:r>
      <w:hyperlink r:id="rId30"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31"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w:t>
      </w:r>
      <w:proofErr w:type="spellStart"/>
      <w:r>
        <w:rPr>
          <w:rFonts w:ascii="PT Astra Serif;Times New Roman" w:hAnsi="PT Astra Serif;Times New Roman"/>
        </w:rPr>
        <w:t>torgi.gov.ru</w:t>
      </w:r>
      <w:proofErr w:type="spellEnd"/>
      <w:r>
        <w:rPr>
          <w:rFonts w:ascii="PT Astra Serif;Times New Roman" w:hAnsi="PT Astra Serif;Times New Roman"/>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32"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 xml:space="preserve">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w:t>
      </w:r>
      <w:r>
        <w:rPr>
          <w:rFonts w:ascii="PT Astra Serif;Times New Roman" w:hAnsi="PT Astra Serif;Times New Roman"/>
          <w:i/>
          <w:u w:val="single"/>
        </w:rPr>
        <w:lastRenderedPageBreak/>
        <w:t>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w:t>
      </w:r>
      <w:r>
        <w:rPr>
          <w:rFonts w:ascii="PT Astra Serif;Times New Roman" w:hAnsi="PT Astra Serif;Times New Roman"/>
        </w:rPr>
        <w:lastRenderedPageBreak/>
        <w:t>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3"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lastRenderedPageBreak/>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34" w:tooltip="http://www.torgi.gov.ru/" w:history="1">
        <w:r>
          <w:rPr>
            <w:rStyle w:val="afa"/>
            <w:b/>
          </w:rPr>
          <w:t>www.torgi.gov.ru</w:t>
        </w:r>
      </w:hyperlink>
      <w:r>
        <w:t xml:space="preserve"> на электронной площадке </w:t>
      </w:r>
      <w:proofErr w:type="spellStart"/>
      <w:r>
        <w:rPr>
          <w:b/>
          <w:color w:val="333333"/>
          <w:highlight w:val="white"/>
        </w:rPr>
        <w:t>Сбербанк-АСТ</w:t>
      </w:r>
      <w:proofErr w:type="spellEnd"/>
      <w:r>
        <w:rPr>
          <w:b/>
        </w:rPr>
        <w:t xml:space="preserve"> </w:t>
      </w:r>
      <w:hyperlink r:id="rId35"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6A" w:rsidRDefault="0029596A" w:rsidP="00A179CE">
      <w:r>
        <w:separator/>
      </w:r>
    </w:p>
  </w:endnote>
  <w:endnote w:type="continuationSeparator" w:id="0">
    <w:p w:rsidR="0029596A" w:rsidRDefault="0029596A" w:rsidP="00A1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6A" w:rsidRDefault="0029596A" w:rsidP="00A179CE">
      <w:r>
        <w:separator/>
      </w:r>
    </w:p>
  </w:footnote>
  <w:footnote w:type="continuationSeparator" w:id="0">
    <w:p w:rsidR="0029596A" w:rsidRDefault="0029596A" w:rsidP="00A179CE">
      <w:r>
        <w:continuationSeparator/>
      </w:r>
    </w:p>
  </w:footnote>
  <w:footnote w:id="1">
    <w:p w:rsidR="00C72A05" w:rsidRDefault="00C72A05" w:rsidP="000621A1">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2B"/>
    <w:rsid w:val="000621A1"/>
    <w:rsid w:val="001426E9"/>
    <w:rsid w:val="00150FDC"/>
    <w:rsid w:val="001514C0"/>
    <w:rsid w:val="00151A9F"/>
    <w:rsid w:val="001878AD"/>
    <w:rsid w:val="001D400A"/>
    <w:rsid w:val="00221132"/>
    <w:rsid w:val="00276E4E"/>
    <w:rsid w:val="0029596A"/>
    <w:rsid w:val="002C0AB7"/>
    <w:rsid w:val="003711A0"/>
    <w:rsid w:val="00374DE5"/>
    <w:rsid w:val="003A7508"/>
    <w:rsid w:val="00401F53"/>
    <w:rsid w:val="00414E9E"/>
    <w:rsid w:val="004C6DE2"/>
    <w:rsid w:val="004F0676"/>
    <w:rsid w:val="005933CB"/>
    <w:rsid w:val="0060169B"/>
    <w:rsid w:val="00602E49"/>
    <w:rsid w:val="006344A2"/>
    <w:rsid w:val="006B7ED5"/>
    <w:rsid w:val="006D136E"/>
    <w:rsid w:val="007D39DA"/>
    <w:rsid w:val="007E05AB"/>
    <w:rsid w:val="00883C39"/>
    <w:rsid w:val="008B2AB8"/>
    <w:rsid w:val="008F642E"/>
    <w:rsid w:val="009859FC"/>
    <w:rsid w:val="009F1C38"/>
    <w:rsid w:val="00A179CE"/>
    <w:rsid w:val="00A37C1A"/>
    <w:rsid w:val="00A86155"/>
    <w:rsid w:val="00B33CBF"/>
    <w:rsid w:val="00B5259C"/>
    <w:rsid w:val="00BB3AA5"/>
    <w:rsid w:val="00BE5764"/>
    <w:rsid w:val="00BF41AB"/>
    <w:rsid w:val="00C72A05"/>
    <w:rsid w:val="00CF68C4"/>
    <w:rsid w:val="00D10B2B"/>
    <w:rsid w:val="00DC56C1"/>
    <w:rsid w:val="00E600A4"/>
    <w:rsid w:val="00EC3AA8"/>
    <w:rsid w:val="00FA4C31"/>
    <w:rsid w:val="00FC175C"/>
    <w:rsid w:val="00FC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color w:val="auto"/>
      <w:sz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mrsk-cp.ru" TargetMode="Externa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s://torgi.gov.ru/new/public/infomaterials/re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sberbank-ast.ru/CAList.aspx" TargetMode="External"/><Relationship Id="rId35" Type="http://schemas.openxmlformats.org/officeDocument/2006/relationships/hyperlink" Target="http://www.sberbank-as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5545C-DFA0-4A4E-B5E9-B79F2770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7217</Words>
  <Characters>41142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2</cp:revision>
  <cp:lastPrinted>2023-06-28T13:54:00Z</cp:lastPrinted>
  <dcterms:created xsi:type="dcterms:W3CDTF">2023-10-15T15:29:00Z</dcterms:created>
  <dcterms:modified xsi:type="dcterms:W3CDTF">2023-10-15T15:29:00Z</dcterms:modified>
</cp:coreProperties>
</file>