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216975" w:rsidP="005267D5">
      <w:pPr>
        <w:jc w:val="center"/>
      </w:pPr>
      <w:r w:rsidRPr="00216975">
        <w:rPr>
          <w:color w:val="00000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 xml:space="preserve">за </w:t>
      </w:r>
      <w:r w:rsidR="007A2C39">
        <w:t>4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>
              <w:t>П</w:t>
            </w:r>
            <w:r w:rsidRPr="00216975">
              <w:t>остановление администрации муниципального образования город Алексин от 30 декабря 2022 года № 2565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F0958" w:rsidRDefault="007A2C39" w:rsidP="007A2C39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</w:t>
            </w:r>
            <w:r>
              <w:t>10 октября 2023г. № 2144;</w:t>
            </w:r>
          </w:p>
          <w:p w:rsidR="007A2C39" w:rsidRDefault="007A2C39" w:rsidP="007A2C39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</w:t>
            </w:r>
            <w:r>
              <w:t>07 ноября 2023г. № 2378;</w:t>
            </w:r>
          </w:p>
          <w:p w:rsidR="007A2C39" w:rsidRPr="00EA7625" w:rsidRDefault="007A2C39" w:rsidP="007A2C39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</w:t>
            </w:r>
            <w:r>
              <w:t>29 декабря 2023г. № 2907.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0B1D7C" w:rsidP="007D7CB5">
            <w:pPr>
              <w:pStyle w:val="a6"/>
              <w:snapToGrid w:val="0"/>
            </w:pPr>
            <w:r w:rsidRPr="000B1D7C">
              <w:t>124 230 715,97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0B1D7C" w:rsidP="00F9150A">
            <w:pPr>
              <w:pStyle w:val="a6"/>
              <w:snapToGrid w:val="0"/>
            </w:pPr>
            <w:r w:rsidRPr="000B1D7C">
              <w:t>124 230 715,97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523"/>
        <w:gridCol w:w="1315"/>
        <w:gridCol w:w="1275"/>
        <w:gridCol w:w="1275"/>
        <w:gridCol w:w="1278"/>
        <w:gridCol w:w="654"/>
        <w:gridCol w:w="1327"/>
        <w:gridCol w:w="1417"/>
        <w:gridCol w:w="1417"/>
        <w:gridCol w:w="1275"/>
        <w:gridCol w:w="568"/>
        <w:gridCol w:w="574"/>
        <w:gridCol w:w="9"/>
        <w:gridCol w:w="1120"/>
      </w:tblGrid>
      <w:tr w:rsidR="004D1F38" w:rsidRPr="00EA7625" w:rsidTr="004D1F38">
        <w:tc>
          <w:tcPr>
            <w:tcW w:w="1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9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5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4D1F38" w:rsidRPr="00EA7625" w:rsidTr="00733EEA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5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2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508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88" w:type="pct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4D1F38" w:rsidRPr="00EA7625" w:rsidTr="00733EEA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2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88" w:type="pct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Региональный проект "Региональная и местная дорожная сеть"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240751">
              <w:t xml:space="preserve">Повышение качества транспортной автомобильной сети, обеспечение нормативного уровня </w:t>
            </w:r>
            <w:r w:rsidRPr="00240751">
              <w:lastRenderedPageBreak/>
              <w:t>безопасности дорожного движения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lastRenderedPageBreak/>
              <w:t>1.2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Региональный проект "Формирование комфортной городской среды"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8 354 717,34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2 416 052,37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5 562 094,45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376 570,52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8 354 717,34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2 416 052,37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5 562 094,45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376 570,52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29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240751"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Региональный проект «Комплексная борьба с борщевиком Сосновского»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2.2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 xml:space="preserve">Региональный проект «Создание устойчивой системы обращения с твердыми коммунальными </w:t>
            </w:r>
            <w:r w:rsidRPr="009B54AD">
              <w:lastRenderedPageBreak/>
              <w:t>отходами»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lastRenderedPageBreak/>
              <w:t>4 530 955,74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4 276 316,03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254 639,71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4 530 955,74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4 276 316,03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254 639,71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34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0B1D7C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>Увеличение доли обустроенных мест (площадок) накопления твердых коммуналь</w:t>
            </w:r>
            <w:r w:rsidRPr="00F07CA4">
              <w:rPr>
                <w:color w:val="000000"/>
                <w:lang w:eastAsia="ru-RU"/>
              </w:rPr>
              <w:lastRenderedPageBreak/>
              <w:t>ных отходов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lastRenderedPageBreak/>
              <w:t>3.1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Ведомственный проект "Предоставление межбюджетных трансфертов бюджетам муниципальных образований"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1 530 000,00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1 530 000,00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1 530 000,00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1 530 000,00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0B1D7C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>Увеличение количества обустроенных остановочных павильонов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4.1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«Организация комплексного благоустройства и озеленения»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25 249 630,10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1 960 307,55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23 289 322,55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25 249 630,10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1 960 307,55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23 289 322,55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31,3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F111C6">
              <w:t>Улучшение санитарного состояния территорий муниципального образования город Алексин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4.2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25 113 626,40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6 692 819,91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18 420 806,49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25 113 626,40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6 692 819,91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18 420 806,49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66,6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9C488A"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4.3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мероприятий «Ремонт дворовых </w:t>
            </w:r>
            <w:r w:rsidRPr="009B54AD">
              <w:lastRenderedPageBreak/>
              <w:t>территорий»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lastRenderedPageBreak/>
              <w:t>2 959 481,71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2 959 481,71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2 959 481,71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2 959 481,71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99,3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 xml:space="preserve">  </w:t>
            </w:r>
            <w:r w:rsidR="000B1D7C" w:rsidRPr="00F07CA4">
              <w:rPr>
                <w:color w:val="000000"/>
                <w:lang w:eastAsia="ru-RU"/>
              </w:rPr>
              <w:t xml:space="preserve">Создание комфортной обстановки для отдыха </w:t>
            </w:r>
            <w:r w:rsidR="000B1D7C" w:rsidRPr="00F07CA4">
              <w:rPr>
                <w:color w:val="000000"/>
                <w:lang w:eastAsia="ru-RU"/>
              </w:rPr>
              <w:lastRenderedPageBreak/>
              <w:t xml:space="preserve">населения и обеспечение комфортных условий для проживания жителей города  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lastRenderedPageBreak/>
              <w:t>4.4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 «Ремонт тротуаров»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4 454 856,73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4 454 856,73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4 454 856,73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4 454 856,73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>
              <w:t>92,2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240751"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4.5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 «Содержание автомобильных дорог»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48 791 084,02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48 791 084,02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48 791 084,02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48 791 084,02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137155" w:rsidP="003B51F7">
            <w:pPr>
              <w:pStyle w:val="a6"/>
              <w:snapToGrid w:val="0"/>
              <w:jc w:val="center"/>
            </w:pPr>
            <w:r>
              <w:t>56,2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F111C6"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t>4.6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мероприятий </w:t>
            </w:r>
            <w:r w:rsidRPr="009B54AD">
              <w:lastRenderedPageBreak/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lastRenderedPageBreak/>
              <w:t>555 077,21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555 077,21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555 077,21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555 077,21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137155" w:rsidP="003B51F7">
            <w:pPr>
              <w:pStyle w:val="a6"/>
              <w:snapToGrid w:val="0"/>
              <w:jc w:val="center"/>
            </w:pPr>
            <w:r>
              <w:t>54,9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>Предупреждение возникнове</w:t>
            </w:r>
            <w:r w:rsidRPr="00F07CA4">
              <w:rPr>
                <w:color w:val="000000"/>
                <w:lang w:eastAsia="ru-RU"/>
              </w:rPr>
              <w:lastRenderedPageBreak/>
              <w:t>ния возгораний объектов жилого сектора и социальных объектов на территории МО город Алексин</w:t>
            </w:r>
          </w:p>
        </w:tc>
      </w:tr>
      <w:tr w:rsidR="003B51F7" w:rsidRPr="00EA7625" w:rsidTr="003B51F7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1F7" w:rsidRPr="00EA7625" w:rsidRDefault="003B51F7" w:rsidP="007D7CB5">
            <w:pPr>
              <w:pStyle w:val="a6"/>
              <w:snapToGrid w:val="0"/>
            </w:pPr>
            <w:r>
              <w:lastRenderedPageBreak/>
              <w:t>4.7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2 691 286,72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2 691 286,72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b/>
                <w:color w:val="000000"/>
              </w:rPr>
            </w:pPr>
            <w:r w:rsidRPr="003B51F7">
              <w:rPr>
                <w:b/>
                <w:color w:val="000000"/>
              </w:rPr>
              <w:t>2 691 286,72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 w:rsidRPr="003B51F7">
              <w:rPr>
                <w:color w:val="000000"/>
              </w:rPr>
              <w:t>2 691 286,72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pStyle w:val="a6"/>
              <w:snapToGrid w:val="0"/>
              <w:jc w:val="center"/>
            </w:pPr>
            <w:r w:rsidRPr="003B51F7"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137155" w:rsidP="003B51F7">
            <w:pPr>
              <w:pStyle w:val="a6"/>
              <w:snapToGrid w:val="0"/>
              <w:jc w:val="center"/>
            </w:pPr>
            <w:r>
              <w:t>33,2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EA7625" w:rsidRDefault="003B51F7" w:rsidP="00605FE2">
            <w:pPr>
              <w:pStyle w:val="a6"/>
              <w:snapToGrid w:val="0"/>
              <w:jc w:val="center"/>
            </w:pPr>
            <w:r w:rsidRPr="00F111C6">
              <w:t>Повышение эффективности и скорости реагирования в чрезвычайных ситуациях</w:t>
            </w:r>
          </w:p>
        </w:tc>
      </w:tr>
      <w:tr w:rsidR="003B51F7" w:rsidRPr="00EA7625" w:rsidTr="003B51F7">
        <w:tc>
          <w:tcPr>
            <w:tcW w:w="6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FC0BF8" w:rsidRDefault="003B51F7" w:rsidP="00FC0BF8">
            <w:pPr>
              <w:pStyle w:val="a6"/>
              <w:snapToGrid w:val="0"/>
              <w:jc w:val="center"/>
              <w:rPr>
                <w:b/>
              </w:rPr>
            </w:pPr>
            <w:r w:rsidRPr="00FC0BF8">
              <w:rPr>
                <w:b/>
              </w:rPr>
              <w:t>Всего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124 230 715,97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2 416 052,37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20 021 537,94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101 793 125,66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9C488A" w:rsidRDefault="003B51F7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124 230 715,97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2 416 052,37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20 021 537,94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A63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51F7">
              <w:rPr>
                <w:b/>
                <w:color w:val="000000"/>
                <w:sz w:val="18"/>
                <w:szCs w:val="18"/>
              </w:rPr>
              <w:t>101 793 125,66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3B51F7" w:rsidP="003B5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3B51F7" w:rsidRDefault="00137155" w:rsidP="003B51F7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41,4</w:t>
            </w:r>
          </w:p>
        </w:tc>
        <w:tc>
          <w:tcPr>
            <w:tcW w:w="36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1F7" w:rsidRPr="004D1F38" w:rsidRDefault="003B51F7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0B1D7C"/>
    <w:rsid w:val="000E38BB"/>
    <w:rsid w:val="001241FF"/>
    <w:rsid w:val="00137155"/>
    <w:rsid w:val="00162149"/>
    <w:rsid w:val="001A6EA7"/>
    <w:rsid w:val="001C371C"/>
    <w:rsid w:val="00216975"/>
    <w:rsid w:val="00221A9B"/>
    <w:rsid w:val="00230BFB"/>
    <w:rsid w:val="0023363C"/>
    <w:rsid w:val="002402D9"/>
    <w:rsid w:val="00240751"/>
    <w:rsid w:val="00277DEA"/>
    <w:rsid w:val="0039284C"/>
    <w:rsid w:val="003B51F7"/>
    <w:rsid w:val="00423A31"/>
    <w:rsid w:val="004402D6"/>
    <w:rsid w:val="0045273D"/>
    <w:rsid w:val="004D1F38"/>
    <w:rsid w:val="004E5436"/>
    <w:rsid w:val="005267D5"/>
    <w:rsid w:val="00531616"/>
    <w:rsid w:val="005553BF"/>
    <w:rsid w:val="005A1547"/>
    <w:rsid w:val="005B5ED4"/>
    <w:rsid w:val="00605FE2"/>
    <w:rsid w:val="00694C68"/>
    <w:rsid w:val="006C3020"/>
    <w:rsid w:val="006D1349"/>
    <w:rsid w:val="00733EEA"/>
    <w:rsid w:val="007571C9"/>
    <w:rsid w:val="00773DEE"/>
    <w:rsid w:val="007A2C39"/>
    <w:rsid w:val="007B697F"/>
    <w:rsid w:val="008446A5"/>
    <w:rsid w:val="008B54F9"/>
    <w:rsid w:val="008D6151"/>
    <w:rsid w:val="0094471F"/>
    <w:rsid w:val="00950141"/>
    <w:rsid w:val="0098052C"/>
    <w:rsid w:val="009B54AD"/>
    <w:rsid w:val="009C488A"/>
    <w:rsid w:val="009F0958"/>
    <w:rsid w:val="00A80870"/>
    <w:rsid w:val="00A87752"/>
    <w:rsid w:val="00AE1E8D"/>
    <w:rsid w:val="00AE5A9C"/>
    <w:rsid w:val="00C0605E"/>
    <w:rsid w:val="00C83356"/>
    <w:rsid w:val="00C95488"/>
    <w:rsid w:val="00E23BC7"/>
    <w:rsid w:val="00E63BB5"/>
    <w:rsid w:val="00F111C6"/>
    <w:rsid w:val="00F21DEF"/>
    <w:rsid w:val="00F9150A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24</cp:revision>
  <cp:lastPrinted>2024-01-15T09:04:00Z</cp:lastPrinted>
  <dcterms:created xsi:type="dcterms:W3CDTF">2023-04-09T14:32:00Z</dcterms:created>
  <dcterms:modified xsi:type="dcterms:W3CDTF">2024-01-15T09:04:00Z</dcterms:modified>
</cp:coreProperties>
</file>