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Отчет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проведенных проверок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полугодие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  <w:r>
        <w:rPr>
          <w:b w:val="1"/>
          <w:sz w:val="28"/>
        </w:rPr>
        <w:t>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контрольно-ревизионным сектором Управления по бюджету и финансам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муниципального образования город Алексин</w:t>
      </w:r>
    </w:p>
    <w:p w14:paraId="05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805"/>
        <w:gridCol w:w="3645"/>
        <w:gridCol w:w="6445"/>
      </w:tblGrid>
      <w:tr>
        <w:trPr>
          <w:trHeight w:hRule="atLeast" w:val="6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N</w:t>
            </w:r>
          </w:p>
          <w:p w14:paraId="0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>п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>, ИНН, адрес</w:t>
            </w:r>
          </w:p>
          <w:p w14:paraId="0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учреждения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Контрольное мероприятие </w:t>
            </w: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Результаты проверки</w:t>
            </w:r>
          </w:p>
          <w:p w14:paraId="0C000000">
            <w:pPr>
              <w:rPr>
                <w:sz w:val="26"/>
              </w:rPr>
            </w:pPr>
          </w:p>
          <w:p w14:paraId="0D000000">
            <w:pPr>
              <w:rPr>
                <w:sz w:val="26"/>
              </w:rPr>
            </w:pPr>
            <w:r>
              <w:rPr>
                <w:sz w:val="26"/>
              </w:rPr>
              <w:t>Нарушения:</w:t>
            </w:r>
          </w:p>
        </w:tc>
      </w:tr>
      <w:tr>
        <w:trPr>
          <w:trHeight w:hRule="atLeast" w:val="492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b w:val="1"/>
                <w:sz w:val="26"/>
              </w:rPr>
              <w:t>комбинированного вида № 1</w:t>
            </w:r>
            <w:r>
              <w:rPr>
                <w:b w:val="1"/>
                <w:sz w:val="26"/>
              </w:rPr>
              <w:t>1»</w:t>
            </w:r>
          </w:p>
          <w:p w14:paraId="10000000">
            <w:pPr>
              <w:ind/>
              <w:jc w:val="both"/>
              <w:rPr>
                <w:color w:val="000000"/>
                <w:sz w:val="26"/>
              </w:rPr>
            </w:pPr>
          </w:p>
          <w:p w14:paraId="11000000">
            <w:pPr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ИНН 71110</w:t>
            </w:r>
            <w:r>
              <w:rPr>
                <w:color w:val="000000"/>
                <w:sz w:val="26"/>
                <w:highlight w:val="white"/>
              </w:rPr>
              <w:t>13343</w:t>
            </w:r>
          </w:p>
          <w:p w14:paraId="12000000">
            <w:pPr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Адрес: 301369</w:t>
            </w:r>
            <w:r>
              <w:rPr>
                <w:color w:val="000000"/>
                <w:sz w:val="26"/>
              </w:rPr>
              <w:t xml:space="preserve">, Тульская область, г. Алексин, ул. </w:t>
            </w:r>
            <w:r>
              <w:rPr>
                <w:color w:val="000000"/>
                <w:sz w:val="26"/>
                <w:highlight w:val="white"/>
              </w:rPr>
              <w:t xml:space="preserve">50 лет ВЛКСМ, </w:t>
            </w:r>
            <w:r>
              <w:rPr>
                <w:color w:val="000000"/>
                <w:sz w:val="26"/>
                <w:highlight w:val="white"/>
              </w:rPr>
              <w:t>д.</w:t>
            </w:r>
            <w:r>
              <w:rPr>
                <w:color w:val="000000"/>
                <w:sz w:val="26"/>
                <w:highlight w:val="white"/>
              </w:rPr>
              <w:t xml:space="preserve"> </w:t>
            </w:r>
            <w:r>
              <w:rPr>
                <w:color w:val="000000"/>
                <w:sz w:val="26"/>
                <w:highlight w:val="white"/>
              </w:rPr>
              <w:t>10</w:t>
            </w:r>
          </w:p>
          <w:p w14:paraId="1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Проверка </w:t>
            </w:r>
            <w:r>
              <w:rPr>
                <w:sz w:val="26"/>
              </w:rPr>
              <w:t>достоверности отчета об исполнении муниципального задания</w:t>
            </w: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rPr>
                <w:sz w:val="26"/>
              </w:rPr>
            </w:pPr>
            <w:r>
              <w:rPr>
                <w:color w:themeColor="text1" w:val="000000"/>
                <w:sz w:val="26"/>
                <w:highlight w:val="white"/>
              </w:rPr>
              <w:t xml:space="preserve">- </w:t>
            </w:r>
            <w:r>
              <w:rPr>
                <w:color w:themeColor="text1" w:val="000000"/>
                <w:sz w:val="26"/>
              </w:rPr>
              <w:t>пункта 3 статьи 69.2 Бюджетного Кодекса Российской Федерации</w:t>
            </w:r>
            <w:r>
              <w:rPr>
                <w:color w:themeColor="text1" w:val="000000"/>
                <w:sz w:val="26"/>
                <w:highlight w:val="white"/>
              </w:rPr>
              <w:t xml:space="preserve">;  </w:t>
            </w:r>
          </w:p>
          <w:p w14:paraId="1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>пунктов</w:t>
            </w:r>
            <w:r>
              <w:rPr>
                <w:sz w:val="26"/>
              </w:rPr>
              <w:t xml:space="preserve"> 5</w:t>
            </w:r>
            <w:r>
              <w:rPr>
                <w:sz w:val="26"/>
              </w:rPr>
              <w:t>, 40</w:t>
            </w:r>
            <w:r>
              <w:rPr>
                <w:sz w:val="26"/>
              </w:rPr>
      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задания, утвержденного постановлением администрации муниципального образования город Алексин от 17 августа 2015 года № 1843 «О порядке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78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Муниципальное бюджетное дошкольное образовательное учреждение «</w:t>
            </w:r>
            <w:r>
              <w:rPr>
                <w:b w:val="1"/>
                <w:color w:val="000000"/>
                <w:sz w:val="26"/>
                <w:highlight w:val="white"/>
              </w:rPr>
              <w:t>Центр развития ребенка – детский сад № 13</w:t>
            </w:r>
            <w:r>
              <w:rPr>
                <w:b w:val="1"/>
                <w:sz w:val="26"/>
              </w:rPr>
              <w:t>»</w:t>
            </w:r>
          </w:p>
          <w:p w14:paraId="19000000">
            <w:pPr>
              <w:ind/>
              <w:jc w:val="both"/>
              <w:rPr>
                <w:sz w:val="26"/>
              </w:rPr>
            </w:pPr>
          </w:p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ИНН 71110</w:t>
            </w:r>
            <w:r>
              <w:rPr>
                <w:color w:val="000000"/>
                <w:sz w:val="26"/>
                <w:highlight w:val="white"/>
              </w:rPr>
              <w:t>08054</w:t>
            </w:r>
          </w:p>
          <w:p w14:paraId="1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Адрес: </w:t>
            </w:r>
            <w:r>
              <w:rPr>
                <w:sz w:val="26"/>
                <w:highlight w:val="white"/>
              </w:rPr>
              <w:t xml:space="preserve">301367, Тульская область, г. Алексин, ул. </w:t>
            </w:r>
            <w:r>
              <w:rPr>
                <w:sz w:val="26"/>
                <w:highlight w:val="white"/>
              </w:rPr>
              <w:t>Болотова</w:t>
            </w:r>
            <w:r>
              <w:rPr>
                <w:sz w:val="26"/>
                <w:highlight w:val="white"/>
              </w:rPr>
              <w:t xml:space="preserve">, д. </w:t>
            </w:r>
            <w:r>
              <w:rPr>
                <w:sz w:val="26"/>
                <w:highlight w:val="white"/>
              </w:rPr>
              <w:t>10, к. 2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 работ, услуг для </w:t>
            </w:r>
            <w:r>
              <w:rPr>
                <w:sz w:val="26"/>
              </w:rPr>
              <w:t>обеспечения государственных и муниципальных нужд</w:t>
            </w: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части 3 статьи 103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color w:themeColor="text1" w:val="000000"/>
                <w:sz w:val="26"/>
                <w:highlight w:val="white"/>
              </w:rPr>
              <w:t xml:space="preserve">Федерального закона </w:t>
            </w:r>
            <w:r>
              <w:rPr>
                <w:rFonts w:ascii="Times New Roman" w:hAnsi="Times New Roman"/>
                <w:sz w:val="24"/>
              </w:rPr>
              <w:t>от 05.04.2013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44-ФЗ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sz w:val="26"/>
              </w:rPr>
              <w:t>.;</w:t>
            </w:r>
          </w:p>
          <w:p w14:paraId="1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  <w:highlight w:val="white"/>
              </w:rPr>
              <w:t xml:space="preserve">пункта 3.3 раздела </w:t>
            </w:r>
            <w:r>
              <w:rPr>
                <w:sz w:val="26"/>
                <w:highlight w:val="white"/>
              </w:rPr>
              <w:t>III</w:t>
            </w:r>
            <w:r>
              <w:rPr>
                <w:sz w:val="26"/>
                <w:highlight w:val="white"/>
              </w:rPr>
              <w:t xml:space="preserve"> контрактов на поставку продуктов питания.</w:t>
            </w:r>
          </w:p>
          <w:p w14:paraId="1F000000">
            <w:pPr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9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76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b w:val="1"/>
                <w:sz w:val="26"/>
              </w:rPr>
              <w:t>Муниципальное бюджетное  учреждение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  <w:r>
              <w:rPr>
                <w:b w:val="1"/>
                <w:sz w:val="26"/>
              </w:rPr>
              <w:t>дополнительного образова</w:t>
            </w:r>
            <w:r>
              <w:rPr>
                <w:rFonts w:ascii="Times New Roman" w:hAnsi="Times New Roman"/>
                <w:b w:val="1"/>
                <w:color w:val="000000"/>
              </w:rPr>
              <w:t>ния «Дом детского творчества»</w:t>
            </w:r>
          </w:p>
          <w:p w14:paraId="22000000">
            <w:pPr>
              <w:spacing w:after="0" w:line="276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23000000">
            <w:pPr>
              <w:spacing w:after="0" w:line="276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0"/>
                <w:sz w:val="26"/>
                <w:highlight w:val="white"/>
              </w:rPr>
              <w:t>ИНН</w:t>
            </w:r>
            <w:r>
              <w:rPr>
                <w:rFonts w:ascii="Times New Roman" w:hAnsi="Times New Roman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7111013061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24000000">
            <w:pPr>
              <w:spacing w:after="0" w:line="276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Адрес: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3013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69, Тульская область, Алексинский район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, Алексин г, ул. 50 лет ВЛКСМ, д.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2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76" w:lineRule="auto"/>
              <w:ind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Проверка финансово-хозяйственной деятельности.</w:t>
            </w:r>
          </w:p>
          <w:p w14:paraId="2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статей 60.2, 68, 103, 151 «Трудового кодекса Российской Федерации» от30.12.2001 № 197-ФЗ</w:t>
            </w:r>
            <w:r>
              <w:rPr>
                <w:sz w:val="26"/>
              </w:rPr>
              <w:t>;</w:t>
            </w:r>
          </w:p>
          <w:p w14:paraId="28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>- час</w:t>
            </w:r>
            <w:r>
              <w:rPr>
                <w:sz w:val="26"/>
              </w:rPr>
              <w:t xml:space="preserve">тей 2, 7 </w:t>
            </w:r>
            <w:r>
              <w:rPr>
                <w:sz w:val="26"/>
                <w:highlight w:val="white"/>
              </w:rPr>
              <w:t>статьи 9 Федерального закон</w:t>
            </w:r>
            <w:r>
              <w:rPr>
                <w:sz w:val="26"/>
              </w:rPr>
              <w:t>а от 06.12.2011 № 402-ФЗ «О бухгалтерском учете»;</w:t>
            </w:r>
          </w:p>
          <w:p w14:paraId="29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>- Методических указаний к приказу</w:t>
            </w:r>
            <w:r>
              <w:rPr>
                <w:sz w:val="26"/>
              </w:rPr>
              <w:t xml:space="preserve"> Мин</w:t>
            </w:r>
            <w:r>
              <w:rPr>
                <w:sz w:val="26"/>
              </w:rPr>
              <w:t xml:space="preserve">истерства </w:t>
            </w:r>
            <w:r>
              <w:rPr>
                <w:sz w:val="26"/>
              </w:rPr>
              <w:t>фина</w:t>
            </w:r>
            <w:r>
              <w:rPr>
                <w:sz w:val="26"/>
              </w:rPr>
              <w:t>нсов</w:t>
            </w:r>
            <w:r>
              <w:rPr>
                <w:sz w:val="26"/>
              </w:rPr>
              <w:t xml:space="preserve"> Росси</w:t>
            </w:r>
            <w:r>
              <w:rPr>
                <w:sz w:val="26"/>
              </w:rPr>
              <w:t>йской Федерации</w:t>
            </w:r>
            <w:r>
              <w:rPr>
                <w:sz w:val="26"/>
              </w:rPr>
              <w:t xml:space="preserve">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</w:t>
            </w:r>
            <w:r>
              <w:rPr>
                <w:sz w:val="26"/>
              </w:rPr>
              <w:t>ких указаний по их применению"</w:t>
            </w:r>
            <w:r>
              <w:rPr>
                <w:sz w:val="26"/>
              </w:rPr>
              <w:t>;</w:t>
            </w:r>
          </w:p>
          <w:p w14:paraId="2A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приказа Министерства здравоохранения и социального развития Российской Федерации от 29.05.2008 </w:t>
            </w: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248н "Об утверждении профессиональных квалификационных групп общ</w:t>
            </w:r>
            <w:r>
              <w:rPr>
                <w:sz w:val="26"/>
              </w:rPr>
              <w:t>еотраслевых профессий рабочих";</w:t>
            </w:r>
          </w:p>
          <w:p w14:paraId="2B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>пункта 1.4 Порядка определения учебной нагрузки педагогических работников, оговариваемой в трудовых договорах, утвержденного приказом Министерства образования и науки России от 22.12.2014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</w:t>
            </w:r>
            <w:r>
              <w:rPr>
                <w:sz w:val="26"/>
              </w:rPr>
              <w:t>ариваемой в трудовом договоре";</w:t>
            </w:r>
          </w:p>
          <w:p w14:paraId="2C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rStyle w:val="Style_2_ch"/>
                <w:color w:themeColor="text1" w:val="000000"/>
                <w:sz w:val="26"/>
                <w:u w:val="none"/>
              </w:rPr>
              <w:fldChar w:fldCharType="begin"/>
            </w:r>
            <w:r>
              <w:rPr>
                <w:rStyle w:val="Style_2_ch"/>
                <w:color w:themeColor="text1" w:val="000000"/>
                <w:sz w:val="26"/>
                <w:u w:val="none"/>
              </w:rPr>
              <w:instrText>HYPERLINK "https://login.consultant.ru/link/?req=doc&amp;base=LAW&amp;n=169988&amp;dst=100060&amp;field=134&amp;date=13.03.2025"</w:instrText>
            </w:r>
            <w:r>
              <w:rPr>
                <w:rStyle w:val="Style_2_ch"/>
                <w:color w:themeColor="text1" w:val="000000"/>
                <w:sz w:val="26"/>
                <w:u w:val="none"/>
              </w:rPr>
              <w:fldChar w:fldCharType="separate"/>
            </w:r>
            <w:r>
              <w:rPr>
                <w:rStyle w:val="Style_2_ch"/>
                <w:color w:themeColor="text1" w:val="000000"/>
                <w:sz w:val="26"/>
                <w:u w:val="none"/>
              </w:rPr>
              <w:t>пункта 16</w:t>
            </w:r>
            <w:r>
              <w:rPr>
                <w:rStyle w:val="Style_2_ch"/>
                <w:color w:themeColor="text1" w:val="000000"/>
                <w:sz w:val="26"/>
                <w:u w:val="none"/>
              </w:rPr>
              <w:fldChar w:fldCharType="end"/>
            </w:r>
            <w:r>
              <w:rPr>
                <w:sz w:val="26"/>
              </w:rPr>
      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</w:t>
            </w:r>
            <w:r>
              <w:rPr>
                <w:sz w:val="26"/>
              </w:rPr>
              <w:t xml:space="preserve"> 24 декабря 2007 № 922;</w:t>
            </w:r>
          </w:p>
          <w:p w14:paraId="2D000000">
            <w:pPr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пункта 6.14 Положения </w:t>
            </w:r>
            <w:r>
              <w:rPr>
                <w:sz w:val="26"/>
              </w:rPr>
              <w:t>об условиях оплаты труда работников муниципального бюджетного учреждения дополнительного образования "Дом детского творчества".</w:t>
            </w:r>
          </w:p>
          <w:p w14:paraId="2E000000">
            <w:pPr>
              <w:ind w:firstLine="0" w:left="0"/>
              <w:jc w:val="both"/>
              <w:rPr>
                <w:sz w:val="26"/>
              </w:rPr>
            </w:pPr>
          </w:p>
        </w:tc>
      </w:tr>
      <w:tr>
        <w:trPr>
          <w:trHeight w:hRule="atLeast" w:val="9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Муниципальное бюджетное учреждение дополнительного образования «Центр развити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я творчества детей и юношества»</w:t>
            </w:r>
          </w:p>
          <w:p w14:paraId="31000000">
            <w:pPr>
              <w:ind/>
              <w:jc w:val="both"/>
              <w:rPr>
                <w:b w:val="1"/>
                <w:sz w:val="26"/>
              </w:rPr>
            </w:pPr>
          </w:p>
          <w:p w14:paraId="32000000">
            <w:pPr>
              <w:ind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ИНН </w:t>
            </w:r>
            <w:r>
              <w:rPr>
                <w:rFonts w:ascii="Times New Roman" w:hAnsi="Times New Roman"/>
                <w:sz w:val="26"/>
              </w:rPr>
              <w:t>7111013657</w:t>
            </w:r>
          </w:p>
          <w:p w14:paraId="33000000">
            <w:pPr>
              <w:ind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Адрес: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301367, Тульская область, город Алексин, ул. Дубравная, д. 23,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орп.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2Б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76" w:lineRule="auto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Проверка использования субсидий, предоставленных из бюджета муниципального образования город Алексин бюджетным учреждениям, и их отражения в бухгалтерском учете и бухгалтерской отчетности.</w:t>
            </w:r>
          </w:p>
          <w:p w14:paraId="3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6"/>
              </w:rPr>
            </w:pPr>
            <w:r>
              <w:rPr>
                <w:b w:val="0"/>
                <w:i w:val="0"/>
                <w:sz w:val="26"/>
              </w:rPr>
              <w:t>- частей 6, 13.1 статьи 34 Федерального закона</w:t>
            </w:r>
            <w:r>
              <w:rPr>
                <w:b w:val="0"/>
                <w:i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>т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 xml:space="preserve"> 05.04.2013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 xml:space="preserve"> года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 xml:space="preserve"> № 44-ФЗ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6"/>
              </w:rPr>
              <w:t>«</w:t>
            </w:r>
            <w:r>
              <w:rPr>
                <w:rFonts w:ascii="Times New Roman" w:hAnsi="Times New Roman"/>
                <w:b w:val="0"/>
                <w:i w:val="0"/>
                <w:sz w:val="26"/>
              </w:rPr>
              <w:t>О контрактной системе в сфере закупок товаров, работ, услуг для обеспечения государственных и муниципальных нужд» и условий контрактов;</w:t>
            </w:r>
          </w:p>
          <w:p w14:paraId="37000000">
            <w:pPr>
              <w:ind/>
              <w:jc w:val="both"/>
              <w:rPr>
                <w:sz w:val="26"/>
              </w:rPr>
            </w:pPr>
            <w:r>
              <w:rPr>
                <w:b w:val="0"/>
                <w:i w:val="0"/>
                <w:sz w:val="26"/>
              </w:rPr>
              <w:t xml:space="preserve">- </w:t>
            </w:r>
            <w:r>
              <w:rPr>
                <w:b w:val="0"/>
                <w:i w:val="0"/>
                <w:sz w:val="26"/>
                <w:highlight w:val="white"/>
              </w:rPr>
              <w:t>части</w:t>
            </w:r>
            <w:r>
              <w:rPr>
                <w:b w:val="0"/>
                <w:i w:val="0"/>
                <w:sz w:val="26"/>
              </w:rPr>
              <w:t xml:space="preserve"> 1 статьи 10</w:t>
            </w:r>
            <w:r>
              <w:rPr>
                <w:b w:val="0"/>
                <w:i w:val="0"/>
                <w:sz w:val="26"/>
                <w:highlight w:val="white"/>
              </w:rPr>
              <w:t>  Федерального закона от 06.12.20</w:t>
            </w:r>
            <w:r>
              <w:rPr>
                <w:b w:val="0"/>
                <w:i w:val="0"/>
                <w:sz w:val="26"/>
                <w:highlight w:val="white"/>
                <w:u w:val="none"/>
              </w:rPr>
              <w:t xml:space="preserve">11 </w:t>
            </w:r>
            <w:r>
              <w:rPr>
                <w:b w:val="0"/>
                <w:i w:val="0"/>
                <w:color w:themeColor="text1" w:val="000000"/>
                <w:sz w:val="26"/>
                <w:u w:val="none"/>
              </w:rPr>
              <w:fldChar w:fldCharType="begin"/>
            </w:r>
            <w:r>
              <w:rPr>
                <w:b w:val="0"/>
                <w:i w:val="0"/>
                <w:color w:themeColor="text1" w:val="000000"/>
                <w:sz w:val="26"/>
                <w:u w:val="none"/>
              </w:rPr>
              <w:instrText>HYPERLINK "https://normativ.kontur.ru/document?moduleId=1&amp;documentId=215087"</w:instrText>
            </w:r>
            <w:r>
              <w:rPr>
                <w:b w:val="0"/>
                <w:i w:val="0"/>
                <w:color w:themeColor="text1" w:val="000000"/>
                <w:sz w:val="26"/>
                <w:u w:val="none"/>
              </w:rPr>
              <w:fldChar w:fldCharType="separate"/>
            </w:r>
            <w:r>
              <w:rPr>
                <w:b w:val="0"/>
                <w:i w:val="0"/>
                <w:color w:themeColor="text1" w:val="000000"/>
                <w:sz w:val="26"/>
                <w:u w:val="none"/>
              </w:rPr>
              <w:t>№ 402-ФЗ</w:t>
            </w:r>
            <w:r>
              <w:rPr>
                <w:b w:val="0"/>
                <w:i w:val="0"/>
                <w:color w:themeColor="text1" w:val="000000"/>
                <w:sz w:val="26"/>
                <w:u w:val="none"/>
              </w:rPr>
              <w:fldChar w:fldCharType="end"/>
            </w:r>
            <w:r>
              <w:rPr>
                <w:b w:val="0"/>
                <w:i w:val="0"/>
                <w:sz w:val="26"/>
                <w:highlight w:val="white"/>
                <w:u w:val="none"/>
              </w:rPr>
              <w:t> </w:t>
            </w:r>
            <w:r>
              <w:rPr>
                <w:b w:val="0"/>
                <w:i w:val="0"/>
                <w:sz w:val="26"/>
                <w:highlight w:val="white"/>
              </w:rPr>
              <w:t>«</w:t>
            </w:r>
            <w:r>
              <w:rPr>
                <w:b w:val="0"/>
                <w:i w:val="0"/>
                <w:sz w:val="26"/>
                <w:highlight w:val="white"/>
                <w:u w:val="none"/>
              </w:rPr>
              <w:t>О бухгалтерском учете»;</w:t>
            </w:r>
          </w:p>
          <w:p w14:paraId="38000000">
            <w:pPr>
              <w:ind/>
              <w:jc w:val="both"/>
              <w:rPr>
                <w:sz w:val="26"/>
              </w:rPr>
            </w:pPr>
            <w:r>
              <w:rPr>
                <w:b w:val="0"/>
                <w:i w:val="0"/>
                <w:color w:themeColor="text1" w:val="000000"/>
                <w:sz w:val="26"/>
                <w:highlight w:val="white"/>
              </w:rPr>
              <w:t xml:space="preserve">- </w:t>
            </w:r>
            <w:r>
              <w:rPr>
                <w:b w:val="0"/>
                <w:i w:val="0"/>
                <w:color w:themeColor="text1" w:val="000000"/>
                <w:sz w:val="26"/>
                <w:highlight w:val="white"/>
              </w:rPr>
              <w:t xml:space="preserve">пункта 118 </w:t>
            </w:r>
            <w:r>
              <w:rPr>
                <w:b w:val="0"/>
                <w:i w:val="0"/>
                <w:sz w:val="26"/>
              </w:rPr>
              <w:t>Инструкции по применению единого плана счетов</w:t>
            </w:r>
            <w:r>
              <w:rPr>
                <w:b w:val="0"/>
                <w:i w:val="0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</w:t>
            </w:r>
            <w:r>
              <w:rPr>
                <w:b w:val="0"/>
                <w:i w:val="0"/>
                <w:sz w:val="26"/>
              </w:rPr>
              <w:t>ных (муниципальных) учреждений, утвержденной</w:t>
            </w:r>
            <w:r>
              <w:rPr>
                <w:b w:val="0"/>
                <w:i w:val="0"/>
                <w:sz w:val="26"/>
              </w:rPr>
              <w:t xml:space="preserve"> приказом Мин</w:t>
            </w:r>
            <w:r>
              <w:rPr>
                <w:b w:val="0"/>
                <w:i w:val="0"/>
                <w:sz w:val="26"/>
              </w:rPr>
              <w:t>истерства ф</w:t>
            </w:r>
            <w:r>
              <w:rPr>
                <w:b w:val="0"/>
                <w:i w:val="0"/>
                <w:sz w:val="26"/>
              </w:rPr>
              <w:t>ина</w:t>
            </w:r>
            <w:r>
              <w:rPr>
                <w:b w:val="0"/>
                <w:i w:val="0"/>
                <w:sz w:val="26"/>
              </w:rPr>
              <w:t>нсов</w:t>
            </w:r>
            <w:r>
              <w:rPr>
                <w:b w:val="0"/>
                <w:i w:val="0"/>
                <w:sz w:val="26"/>
              </w:rPr>
              <w:t xml:space="preserve"> Р</w:t>
            </w:r>
            <w:r>
              <w:rPr>
                <w:b w:val="0"/>
                <w:i w:val="0"/>
                <w:sz w:val="26"/>
              </w:rPr>
              <w:t xml:space="preserve">оссийский </w:t>
            </w:r>
            <w:r>
              <w:rPr>
                <w:b w:val="0"/>
                <w:i w:val="0"/>
                <w:sz w:val="26"/>
              </w:rPr>
              <w:t>Ф</w:t>
            </w:r>
            <w:r>
              <w:rPr>
                <w:b w:val="0"/>
                <w:i w:val="0"/>
                <w:sz w:val="26"/>
              </w:rPr>
              <w:t>едерации</w:t>
            </w:r>
            <w:r>
              <w:rPr>
                <w:b w:val="0"/>
                <w:i w:val="0"/>
                <w:sz w:val="26"/>
              </w:rPr>
              <w:t xml:space="preserve"> от 01.12.2010 № 157н.</w:t>
            </w:r>
          </w:p>
          <w:p w14:paraId="39000000">
            <w:pPr>
              <w:ind/>
              <w:jc w:val="both"/>
              <w:rPr>
                <w:sz w:val="26"/>
              </w:rPr>
            </w:pPr>
          </w:p>
        </w:tc>
      </w:tr>
      <w:tr>
        <w:trPr>
          <w:trHeight w:hRule="atLeast" w:val="9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3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Муниципально</w:t>
            </w:r>
            <w:r>
              <w:rPr>
                <w:rFonts w:ascii="Times New Roman" w:hAnsi="Times New Roman"/>
                <w:b w:val="1"/>
                <w:sz w:val="26"/>
              </w:rPr>
              <w:t>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бюджетно</w:t>
            </w:r>
            <w:r>
              <w:rPr>
                <w:rFonts w:ascii="Times New Roman" w:hAnsi="Times New Roman"/>
                <w:b w:val="1"/>
                <w:sz w:val="26"/>
              </w:rPr>
              <w:t>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дошкольное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образовате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льное учреждение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«Детский сад комбинированного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вида №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»</w:t>
            </w:r>
          </w:p>
          <w:p w14:paraId="3C000000">
            <w:pPr>
              <w:ind/>
              <w:jc w:val="both"/>
              <w:rPr>
                <w:b w:val="1"/>
                <w:sz w:val="26"/>
              </w:rPr>
            </w:pPr>
          </w:p>
          <w:p w14:paraId="3D000000">
            <w:pPr>
              <w:ind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7111013223</w:t>
            </w:r>
          </w:p>
          <w:p w14:paraId="3E000000">
            <w:pPr>
              <w:ind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Адрес: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301365, Тульская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область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, г. Алексин, ул.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ересаева, д. 3А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Проверка </w:t>
            </w:r>
            <w:r>
              <w:rPr>
                <w:sz w:val="26"/>
              </w:rPr>
              <w:t>достоверности отчета об исполнении муниципального задания</w:t>
            </w:r>
          </w:p>
        </w:tc>
        <w:tc>
          <w:tcPr>
            <w:tcW w:type="dxa" w:w="6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sz w:val="26"/>
              </w:rPr>
            </w:pPr>
            <w:r>
              <w:rPr>
                <w:color w:themeColor="text1" w:val="000000"/>
                <w:sz w:val="26"/>
                <w:highlight w:val="white"/>
              </w:rPr>
              <w:t xml:space="preserve">- </w:t>
            </w:r>
            <w:r>
              <w:rPr>
                <w:color w:themeColor="text1" w:val="000000"/>
                <w:sz w:val="26"/>
              </w:rPr>
              <w:t>пункта 3 статьи 69.2 Бюджетного Кодекса Российской Федерации</w:t>
            </w:r>
            <w:r>
              <w:rPr>
                <w:color w:themeColor="text1" w:val="000000"/>
                <w:sz w:val="26"/>
                <w:highlight w:val="white"/>
              </w:rPr>
              <w:t xml:space="preserve">;  </w:t>
            </w:r>
          </w:p>
          <w:p w14:paraId="4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>пунктов</w:t>
            </w:r>
            <w:r>
              <w:rPr>
                <w:sz w:val="26"/>
              </w:rPr>
              <w:t xml:space="preserve"> 5</w:t>
            </w:r>
            <w:r>
              <w:rPr>
                <w:sz w:val="26"/>
              </w:rPr>
              <w:t>, 40</w:t>
            </w:r>
            <w:r>
              <w:rPr>
                <w:sz w:val="26"/>
              </w:rPr>
      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задания, утвержденного постановлением администрации муниципального образования город Алексин от 17 августа 2015 года № 1843 «О порядке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>.</w:t>
            </w:r>
          </w:p>
          <w:p w14:paraId="42000000">
            <w:pPr>
              <w:ind/>
              <w:jc w:val="both"/>
              <w:rPr>
                <w:sz w:val="26"/>
              </w:rPr>
            </w:pPr>
          </w:p>
        </w:tc>
      </w:tr>
    </w:tbl>
    <w:p w14:paraId="43000000">
      <w:pPr>
        <w:rPr>
          <w:b w:val="1"/>
        </w:rPr>
      </w:pPr>
    </w:p>
    <w:p w14:paraId="44000000">
      <w:pPr>
        <w:rPr>
          <w:b w:val="1"/>
        </w:rPr>
      </w:pPr>
    </w:p>
    <w:p w14:paraId="45000000">
      <w:pPr>
        <w:rPr>
          <w:b w:val="1"/>
        </w:rPr>
      </w:pPr>
    </w:p>
    <w:p w14:paraId="46000000">
      <w:pPr>
        <w:rPr>
          <w:b w:val="1"/>
          <w:sz w:val="26"/>
        </w:rPr>
      </w:pPr>
      <w:r>
        <w:rPr>
          <w:b w:val="1"/>
          <w:sz w:val="26"/>
        </w:rPr>
        <w:t xml:space="preserve">Начальник </w:t>
      </w:r>
    </w:p>
    <w:p w14:paraId="47000000">
      <w:pPr>
        <w:rPr>
          <w:b w:val="1"/>
          <w:sz w:val="26"/>
        </w:rPr>
      </w:pPr>
      <w:r>
        <w:rPr>
          <w:b w:val="1"/>
          <w:sz w:val="26"/>
        </w:rPr>
        <w:t xml:space="preserve">Управления по бюджету и финансам администрации </w:t>
      </w:r>
    </w:p>
    <w:p w14:paraId="48000000">
      <w:pPr>
        <w:rPr>
          <w:b w:val="1"/>
          <w:sz w:val="26"/>
        </w:rPr>
      </w:pPr>
      <w:r>
        <w:rPr>
          <w:b w:val="1"/>
          <w:sz w:val="26"/>
        </w:rPr>
        <w:t xml:space="preserve">муниципального образования город Алексин                               </w:t>
      </w:r>
      <w:r>
        <w:rPr>
          <w:b w:val="1"/>
          <w:sz w:val="26"/>
        </w:rPr>
        <w:t xml:space="preserve">                                       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                              </w:t>
      </w:r>
      <w:r>
        <w:rPr>
          <w:b w:val="1"/>
          <w:sz w:val="26"/>
        </w:rPr>
        <w:t xml:space="preserve">   О.А. Горшкова</w:t>
      </w:r>
    </w:p>
    <w:p w14:paraId="49000000"/>
    <w:p w14:paraId="4A000000"/>
    <w:p w14:paraId="4B000000">
      <w:pPr>
        <w:rPr>
          <w:i w:val="1"/>
        </w:rPr>
      </w:pPr>
      <w:r>
        <w:rPr>
          <w:i w:val="1"/>
        </w:rPr>
        <w:t xml:space="preserve">Исп. </w:t>
      </w:r>
      <w:r>
        <w:rPr>
          <w:i w:val="1"/>
        </w:rPr>
        <w:t>Мекалина</w:t>
      </w:r>
      <w:r>
        <w:rPr>
          <w:i w:val="1"/>
        </w:rPr>
        <w:t xml:space="preserve"> И.М.</w:t>
      </w:r>
    </w:p>
    <w:p w14:paraId="4C000000">
      <w:pPr>
        <w:rPr>
          <w:i w:val="1"/>
        </w:rPr>
      </w:pPr>
      <w:r>
        <w:rPr>
          <w:i w:val="1"/>
        </w:rPr>
        <w:t>4</w:t>
      </w:r>
      <w:r>
        <w:rPr>
          <w:i w:val="1"/>
        </w:rPr>
        <w:t>-</w:t>
      </w:r>
      <w:r>
        <w:rPr>
          <w:i w:val="1"/>
        </w:rPr>
        <w:t>03</w:t>
      </w:r>
      <w:r>
        <w:rPr>
          <w:i w:val="1"/>
        </w:rPr>
        <w:t>-</w:t>
      </w:r>
      <w:r>
        <w:rPr>
          <w:i w:val="1"/>
        </w:rPr>
        <w:t>85</w:t>
      </w:r>
    </w:p>
    <w:sectPr>
      <w:pgSz w:h="11906" w:orient="landscape" w:w="16838"/>
      <w:pgMar w:bottom="851" w:footer="709" w:gutter="0" w:header="709" w:left="1134" w:right="1134" w:top="136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py_target"/>
    <w:basedOn w:val="Style_8"/>
    <w:link w:val="Style_12_ch"/>
  </w:style>
  <w:style w:styleId="Style_12_ch" w:type="character">
    <w:name w:val="copy_target"/>
    <w:basedOn w:val="Style_8_ch"/>
    <w:link w:val="Style_12"/>
  </w:style>
  <w:style w:styleId="Style_13" w:type="paragraph">
    <w:name w:val="heading 5"/>
    <w:basedOn w:val="Style_3"/>
    <w:next w:val="Style_3"/>
    <w:link w:val="Style_13_ch"/>
    <w:uiPriority w:val="9"/>
    <w:qFormat/>
    <w:pPr>
      <w:keepNext w:val="1"/>
      <w:ind/>
      <w:jc w:val="both"/>
      <w:outlineLvl w:val="4"/>
    </w:pPr>
    <w:rPr>
      <w:i w:val="1"/>
      <w:sz w:val="28"/>
    </w:rPr>
  </w:style>
  <w:style w:styleId="Style_13_ch" w:type="character">
    <w:name w:val="heading 5"/>
    <w:basedOn w:val="Style_3_ch"/>
    <w:link w:val="Style_13"/>
    <w:rPr>
      <w:i w:val="1"/>
      <w:sz w:val="28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8"/>
    <w:link w:val="Style_2_ch"/>
    <w:rPr>
      <w:color w:val="0000FF"/>
      <w:u w:val="single"/>
    </w:rPr>
  </w:style>
  <w:style w:styleId="Style_2_ch" w:type="character">
    <w:name w:val="Hyperlink"/>
    <w:basedOn w:val="Style_8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List Paragraph"/>
    <w:basedOn w:val="Style_3"/>
    <w:link w:val="Style_1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3_ch"/>
    <w:link w:val="Style_16"/>
    <w:rPr>
      <w:rFonts w:ascii="Calibri" w:hAnsi="Calibri"/>
      <w:sz w:val="22"/>
    </w:rPr>
  </w:style>
  <w:style w:styleId="Style_17" w:type="paragraph">
    <w:name w:val="ConsPlusNormal"/>
    <w:link w:val="Style_17_ch"/>
    <w:pPr>
      <w:widowControl w:val="0"/>
      <w:spacing w:after="0" w:line="240" w:lineRule="auto"/>
      <w:ind/>
    </w:pPr>
    <w:rPr>
      <w:rFonts w:ascii="Calibri" w:hAnsi="Calibri"/>
    </w:rPr>
  </w:style>
  <w:style w:styleId="Style_17_ch" w:type="character">
    <w:name w:val="ConsPlusNormal"/>
    <w:link w:val="Style_17"/>
    <w:rPr>
      <w:rFonts w:ascii="Calibri" w:hAnsi="Calibri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Emphasis"/>
    <w:basedOn w:val="Style_8"/>
    <w:link w:val="Style_21_ch"/>
    <w:rPr>
      <w:i w:val="1"/>
    </w:rPr>
  </w:style>
  <w:style w:styleId="Style_21_ch" w:type="character">
    <w:name w:val="Emphasis"/>
    <w:basedOn w:val="Style_8_ch"/>
    <w:link w:val="Style_21"/>
    <w:rPr>
      <w:i w:val="1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2025-07-09T08:53:50Z</dcterms:modified>
</cp:coreProperties>
</file>