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jc w:val="right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Утвержден</w:t>
      </w:r>
      <w:r>
        <w:rPr>
          <w:rFonts w:ascii="Times New Roman" w:hAnsi="Times New Roman"/>
          <w:sz w:val="23"/>
        </w:rPr>
        <w:t xml:space="preserve"> проектным комитетом</w:t>
      </w:r>
    </w:p>
    <w:p w14:paraId="02000000">
      <w:pPr>
        <w:widowControl w:val="1"/>
        <w:spacing w:after="0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3"/>
        </w:rPr>
        <w:t xml:space="preserve">(протокол </w:t>
      </w:r>
      <w:r>
        <w:rPr>
          <w:rFonts w:ascii="Times New Roman" w:hAnsi="Times New Roman"/>
          <w:sz w:val="23"/>
        </w:rPr>
        <w:t>№</w:t>
      </w:r>
      <w:r>
        <w:rPr>
          <w:rFonts w:ascii="Times New Roman" w:hAnsi="Times New Roman"/>
          <w:sz w:val="23"/>
        </w:rPr>
        <w:t>27</w:t>
      </w:r>
      <w:r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sz w:val="23"/>
        </w:rPr>
        <w:t>от</w:t>
      </w:r>
      <w:r>
        <w:rPr>
          <w:rFonts w:ascii="Times New Roman" w:hAnsi="Times New Roman"/>
          <w:sz w:val="23"/>
        </w:rPr>
        <w:t xml:space="preserve"> 29</w:t>
      </w:r>
      <w:r>
        <w:rPr>
          <w:rFonts w:ascii="Times New Roman" w:hAnsi="Times New Roman"/>
          <w:sz w:val="23"/>
        </w:rPr>
        <w:t>.12</w:t>
      </w:r>
      <w:r>
        <w:rPr>
          <w:rFonts w:ascii="Times New Roman" w:hAnsi="Times New Roman"/>
          <w:sz w:val="23"/>
        </w:rPr>
        <w:t>.202</w:t>
      </w:r>
      <w:r>
        <w:rPr>
          <w:rFonts w:ascii="Times New Roman" w:hAnsi="Times New Roman"/>
          <w:sz w:val="23"/>
        </w:rPr>
        <w:t>5</w:t>
      </w:r>
      <w:r>
        <w:rPr>
          <w:rFonts w:ascii="Times New Roman" w:hAnsi="Times New Roman"/>
          <w:sz w:val="23"/>
        </w:rPr>
        <w:t>г.</w:t>
      </w:r>
      <w:r>
        <w:rPr>
          <w:rFonts w:ascii="Times New Roman" w:hAnsi="Times New Roman"/>
          <w:sz w:val="23"/>
        </w:rPr>
        <w:t>)</w:t>
      </w:r>
    </w:p>
    <w:p w14:paraId="03000000">
      <w:pPr>
        <w:widowControl w:val="1"/>
        <w:ind/>
        <w:jc w:val="right"/>
        <w:rPr>
          <w:b w:val="1"/>
          <w:sz w:val="24"/>
        </w:rPr>
      </w:pPr>
    </w:p>
    <w:p w14:paraId="0400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>Паспорт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муниципальной программы</w:t>
      </w:r>
    </w:p>
    <w:p w14:paraId="0500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 </w:t>
      </w:r>
      <w:r>
        <w:rPr>
          <w:b w:val="1"/>
          <w:sz w:val="24"/>
        </w:rPr>
        <w:t xml:space="preserve">«Экономическое развитие и формирование инвестиционной привлекательности </w:t>
      </w:r>
    </w:p>
    <w:p w14:paraId="0600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>муниципального образования город Алексин»</w:t>
      </w:r>
    </w:p>
    <w:p w14:paraId="07000000">
      <w:pPr>
        <w:widowControl w:val="1"/>
        <w:ind/>
        <w:jc w:val="center"/>
        <w:rPr>
          <w:b w:val="1"/>
          <w:sz w:val="24"/>
        </w:rPr>
      </w:pPr>
    </w:p>
    <w:tbl>
      <w:tblPr>
        <w:tblStyle w:val="Style_1"/>
        <w:tblW w:type="auto" w:w="0"/>
        <w:tblInd w:type="dxa" w:w="-88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58"/>
        <w:gridCol w:w="567"/>
        <w:gridCol w:w="3153"/>
        <w:gridCol w:w="1525"/>
        <w:gridCol w:w="1276"/>
        <w:gridCol w:w="142"/>
        <w:gridCol w:w="1134"/>
        <w:gridCol w:w="567"/>
        <w:gridCol w:w="708"/>
        <w:gridCol w:w="851"/>
        <w:gridCol w:w="425"/>
        <w:gridCol w:w="992"/>
        <w:gridCol w:w="284"/>
        <w:gridCol w:w="1134"/>
      </w:tblGrid>
      <w:tr>
        <w:trPr>
          <w:trHeight w:hRule="atLeast" w:val="145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Сроки реализации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widowControl w:val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2024-202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 xml:space="preserve"> годы</w:t>
            </w:r>
          </w:p>
        </w:tc>
      </w:tr>
      <w:tr>
        <w:trPr>
          <w:trHeight w:hRule="atLeast" w:val="145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Ответственный исполнитель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Управление развития экономики администрации муниципального образования город Алексин</w:t>
            </w:r>
          </w:p>
        </w:tc>
      </w:tr>
      <w:tr>
        <w:trPr>
          <w:trHeight w:hRule="atLeast" w:val="145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Соисполнители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widowControl w:val="1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  <w:p w14:paraId="0E000000">
            <w:pPr>
              <w:widowControl w:val="1"/>
              <w:ind w:firstLine="0"/>
              <w:jc w:val="left"/>
              <w:rPr>
                <w:sz w:val="24"/>
              </w:rPr>
            </w:pPr>
          </w:p>
        </w:tc>
      </w:tr>
      <w:tr>
        <w:trPr>
          <w:trHeight w:hRule="atLeast" w:val="1219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Цели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ind w:firstLine="0"/>
            </w:pPr>
            <w:r>
              <w:rPr>
                <w:sz w:val="24"/>
              </w:rPr>
              <w:t>Создание условий для развития предпринимательства и инвестиционной привлекательности муниципального образования город Алексин, содействие занятости населения муниципального образования город Алексин с учетом приоритетов развития экономики; повышение качества жизни граждан, проживающих на территории муниципального образования город Алексин</w:t>
            </w:r>
          </w:p>
        </w:tc>
      </w:tr>
      <w:tr>
        <w:trPr>
          <w:trHeight w:hRule="atLeast" w:val="1668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Задачи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ind w:firstLine="0"/>
              <w:rPr>
                <w:sz w:val="24"/>
              </w:rPr>
            </w:pPr>
            <w:r>
              <w:rPr>
                <w:sz w:val="24"/>
              </w:rPr>
              <w:t>Стимулирование деятельности малого и среднего бизнеса путем развития системы финансовой поддержки; пропаганда предпринимательства (стимулирование граждан к осуществлению предпринимательской деятельности); создание новых рабочих мест; рост налоговых поступлений от субъектов малого и среднего предпринимательства в муниципальный бюджет; формирование благоприятной среды для реализации инвестиционных проектов; формирование мотивации к труду и охране труда; снижение уровня безработицы; сохранение мотивации к труду у граждан, имеющих длительный период безработицы</w:t>
            </w:r>
          </w:p>
        </w:tc>
      </w:tr>
      <w:tr>
        <w:trPr>
          <w:trHeight w:hRule="atLeast" w:val="837"/>
        </w:trPr>
        <w:tc>
          <w:tcPr>
            <w:tcW w:type="dxa" w:w="3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Перечень структурных элементов муниципальной программы</w:t>
            </w:r>
          </w:p>
        </w:tc>
        <w:tc>
          <w:tcPr>
            <w:tcW w:type="dxa" w:w="12758"/>
            <w:gridSpan w:val="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3"/>
              <w:rPr>
                <w:b w:val="0"/>
                <w:highlight w:val="white"/>
              </w:rPr>
            </w:pPr>
            <w:r>
              <w:rPr>
                <w:b w:val="0"/>
                <w:highlight w:val="white"/>
              </w:rPr>
              <w:t>1</w:t>
            </w:r>
            <w:r>
              <w:rPr>
                <w:b w:val="0"/>
                <w:highlight w:val="white"/>
              </w:rPr>
              <w:t>.</w:t>
            </w:r>
            <w:r>
              <w:rPr>
                <w:b w:val="0"/>
                <w:highlight w:val="white"/>
              </w:rPr>
              <w:t>Комплекс</w:t>
            </w:r>
            <w:r>
              <w:rPr>
                <w:b w:val="0"/>
                <w:highlight w:val="white"/>
              </w:rPr>
              <w:t xml:space="preserve"> процессных мероприятий «Развитие малого и среднего предпринимательства»;</w:t>
            </w:r>
          </w:p>
          <w:p w14:paraId="15000000">
            <w:pPr>
              <w:pStyle w:val="Style_3"/>
              <w:rPr>
                <w:b w:val="0"/>
                <w:highlight w:val="white"/>
              </w:rPr>
            </w:pPr>
            <w:r>
              <w:rPr>
                <w:b w:val="0"/>
                <w:highlight w:val="white"/>
              </w:rPr>
              <w:t>2.Комплекс</w:t>
            </w:r>
            <w:r>
              <w:rPr>
                <w:b w:val="0"/>
                <w:highlight w:val="white"/>
              </w:rPr>
              <w:t xml:space="preserve"> процессных мероприятий </w:t>
            </w:r>
            <w:r>
              <w:rPr>
                <w:b w:val="0"/>
                <w:highlight w:val="white"/>
              </w:rPr>
              <w:t>«</w:t>
            </w:r>
            <w:r>
              <w:rPr>
                <w:b w:val="0"/>
                <w:highlight w:val="white"/>
              </w:rPr>
              <w:t>Формирование благоприятной среды для реализации инвестиционных проектов</w:t>
            </w:r>
            <w:r>
              <w:rPr>
                <w:b w:val="0"/>
                <w:highlight w:val="white"/>
              </w:rPr>
              <w:t>»</w:t>
            </w:r>
            <w:r>
              <w:rPr>
                <w:b w:val="0"/>
                <w:highlight w:val="white"/>
              </w:rPr>
              <w:t>;</w:t>
            </w:r>
          </w:p>
          <w:p w14:paraId="16000000">
            <w:pPr>
              <w:pStyle w:val="Style_3"/>
            </w:pPr>
            <w:r>
              <w:rPr>
                <w:b w:val="0"/>
                <w:highlight w:val="white"/>
              </w:rPr>
              <w:t>3.</w:t>
            </w:r>
            <w:r>
              <w:rPr>
                <w:b w:val="0"/>
                <w:highlight w:val="white"/>
              </w:rPr>
              <w:t xml:space="preserve">Комплекс процессных мероприятий </w:t>
            </w:r>
            <w:r>
              <w:rPr>
                <w:b w:val="0"/>
                <w:highlight w:val="white"/>
              </w:rPr>
              <w:t>«</w:t>
            </w:r>
            <w:r>
              <w:rPr>
                <w:b w:val="0"/>
                <w:highlight w:val="white"/>
              </w:rPr>
              <w:t>Формирование мотивации к труду и охране труда</w:t>
            </w:r>
            <w:r>
              <w:rPr>
                <w:b w:val="0"/>
                <w:highlight w:val="white"/>
              </w:rPr>
              <w:t>»</w:t>
            </w:r>
            <w:r>
              <w:rPr>
                <w:b w:val="0"/>
                <w:highlight w:val="white"/>
              </w:rPr>
              <w:t>.</w:t>
            </w:r>
          </w:p>
        </w:tc>
      </w:tr>
      <w:tr>
        <w:trPr>
          <w:trHeight w:hRule="atLeast" w:val="145"/>
        </w:trPr>
        <w:tc>
          <w:tcPr>
            <w:tcW w:type="dxa" w:w="32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Целевые показатели муниципальной программы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2"/>
              <w:widowControl w:val="1"/>
              <w:spacing w:after="0" w:before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 xml:space="preserve"> </w:t>
            </w:r>
          </w:p>
          <w:p w14:paraId="19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rPr>
                <w:sz w:val="20"/>
              </w:rPr>
              <w:t>п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п</w:t>
            </w:r>
          </w:p>
        </w:tc>
        <w:tc>
          <w:tcPr>
            <w:tcW w:type="dxa" w:w="467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Наименование</w:t>
            </w:r>
          </w:p>
          <w:p w14:paraId="1B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целевого показателя, единица измерения</w:t>
            </w:r>
          </w:p>
        </w:tc>
        <w:tc>
          <w:tcPr>
            <w:tcW w:type="dxa" w:w="7513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Значение показателя по годам</w:t>
            </w:r>
          </w:p>
        </w:tc>
      </w:tr>
      <w:tr>
        <w:trPr>
          <w:trHeight w:hRule="atLeast" w:val="14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67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2024</w:t>
            </w:r>
          </w:p>
          <w:p w14:paraId="1E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год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 xml:space="preserve">2025 </w:t>
            </w:r>
          </w:p>
          <w:p w14:paraId="20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год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 xml:space="preserve">2026 </w:t>
            </w:r>
          </w:p>
          <w:p w14:paraId="22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год</w:t>
            </w:r>
          </w:p>
          <w:p w14:paraId="23000000">
            <w:pPr>
              <w:pStyle w:val="Style_2"/>
              <w:widowControl w:val="1"/>
              <w:spacing w:after="0" w:before="0"/>
              <w:ind/>
              <w:jc w:val="center"/>
            </w:pPr>
          </w:p>
          <w:p w14:paraId="24000000">
            <w:pPr>
              <w:pStyle w:val="Style_2"/>
              <w:widowControl w:val="1"/>
              <w:spacing w:after="0" w:before="0"/>
              <w:ind/>
              <w:jc w:val="center"/>
            </w:pP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 xml:space="preserve">2027 </w:t>
            </w:r>
          </w:p>
          <w:p w14:paraId="26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год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 xml:space="preserve">2028 </w:t>
            </w:r>
          </w:p>
          <w:p w14:paraId="28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2"/>
              <w:widowControl w:val="1"/>
              <w:spacing w:after="0" w:before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на момент окончания </w:t>
            </w:r>
          </w:p>
          <w:p w14:paraId="2A000000">
            <w:pPr>
              <w:pStyle w:val="Style_2"/>
              <w:widowControl w:val="1"/>
              <w:spacing w:after="0" w:before="0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реализации</w:t>
            </w:r>
          </w:p>
          <w:p w14:paraId="2B000000">
            <w:pPr>
              <w:pStyle w:val="Style_2"/>
              <w:widowControl w:val="1"/>
              <w:spacing w:after="0" w:before="0"/>
              <w:ind/>
              <w:jc w:val="center"/>
              <w:rPr>
                <w:sz w:val="22"/>
              </w:rPr>
            </w:pPr>
            <w:r>
              <w:rPr>
                <w:sz w:val="18"/>
              </w:rPr>
              <w:t>муниципальной программы</w:t>
            </w:r>
          </w:p>
        </w:tc>
      </w:tr>
      <w:tr>
        <w:trPr>
          <w:trHeight w:hRule="atLeast" w:val="14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1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субъектов малого и среднего предпринимательства, получивших финансовую поддержку, </w:t>
            </w:r>
            <w:r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1"/>
              <w:ind w:firstLine="4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ind w:firstLine="4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4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2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рабочих мест, созданных субъектами малого и среднего предпринимательства, получившими  финансовую поддержку, единиц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ind w:firstLine="4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ind w:firstLine="4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14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3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Количество зарегистрированных субъектов малого и среднего предпринимательства, включая индивидуальных предпринимателей, в расчете на 1 тысячу человек населения, единиц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25,9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26,4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27,1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 w:firstLine="49"/>
              <w:jc w:val="center"/>
              <w:rPr>
                <w:sz w:val="24"/>
              </w:rPr>
            </w:pPr>
            <w:r>
              <w:rPr>
                <w:sz w:val="24"/>
              </w:rPr>
              <w:t>27,9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ind w:firstLine="49"/>
              <w:jc w:val="center"/>
              <w:rPr>
                <w:sz w:val="24"/>
              </w:rPr>
            </w:pPr>
            <w:r>
              <w:rPr>
                <w:sz w:val="24"/>
              </w:rPr>
              <w:t>27,9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27,9</w:t>
            </w:r>
          </w:p>
        </w:tc>
      </w:tr>
      <w:tr>
        <w:trPr>
          <w:trHeight w:hRule="atLeast" w:val="1331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4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Объем инвестиций в основной капитал на душу населения, тыс. рублей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60,5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77,9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82,4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96,9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96,9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96,9</w:t>
            </w:r>
          </w:p>
        </w:tc>
      </w:tr>
      <w:tr>
        <w:trPr>
          <w:trHeight w:hRule="atLeast" w:val="513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5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Уровень зарегистрированной безработицы, процент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0,13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</w:rPr>
              <w:t>12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0,11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0,10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0,10</w:t>
            </w:r>
          </w:p>
        </w:tc>
      </w:tr>
      <w:tr>
        <w:trPr>
          <w:trHeight w:hRule="atLeast" w:val="47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6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Количество зарегистрированных физических лиц, не являющихся индивидуальными предпринимателями и применяющими специальный налоговый режим «Налог на профессиональный доход», чел.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3300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3350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3390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 w:firstLine="49"/>
              <w:jc w:val="center"/>
              <w:rPr>
                <w:sz w:val="24"/>
              </w:rPr>
            </w:pPr>
            <w:r>
              <w:rPr>
                <w:sz w:val="24"/>
              </w:rPr>
              <w:t>3410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3410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3410</w:t>
            </w:r>
          </w:p>
        </w:tc>
      </w:tr>
      <w:tr>
        <w:trPr>
          <w:trHeight w:hRule="atLeast" w:val="819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7</w:t>
            </w:r>
          </w:p>
        </w:tc>
        <w:tc>
          <w:tcPr>
            <w:tcW w:type="dxa" w:w="46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Рост среднемесячной заработной платы, процент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109,3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109,5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109,7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109,7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109,7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109,7</w:t>
            </w:r>
          </w:p>
        </w:tc>
      </w:tr>
      <w:tr>
        <w:trPr>
          <w:trHeight w:hRule="atLeast" w:val="405"/>
        </w:trPr>
        <w:tc>
          <w:tcPr>
            <w:tcW w:type="dxa" w:w="32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Параметры финансового обеспечения муниципальной программы, всего</w:t>
            </w:r>
          </w:p>
        </w:tc>
        <w:tc>
          <w:tcPr>
            <w:tcW w:type="dxa" w:w="372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 xml:space="preserve">Источники финансирования </w:t>
            </w:r>
          </w:p>
        </w:tc>
        <w:tc>
          <w:tcPr>
            <w:tcW w:type="dxa" w:w="9038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Расходы по годам (руб.)</w:t>
            </w:r>
          </w:p>
        </w:tc>
      </w:tr>
      <w:tr>
        <w:trPr>
          <w:trHeight w:hRule="atLeast" w:val="411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2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Всего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2024 год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2025 год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2026 год</w:t>
            </w:r>
          </w:p>
        </w:tc>
        <w:tc>
          <w:tcPr>
            <w:tcW w:type="dxa" w:w="141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2027 год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2"/>
              <w:widowControl w:val="1"/>
              <w:spacing w:after="0" w:before="0"/>
              <w:ind/>
              <w:jc w:val="center"/>
            </w:pPr>
            <w:r>
              <w:t>2028 год</w:t>
            </w:r>
          </w:p>
        </w:tc>
      </w:tr>
      <w:tr>
        <w:trPr>
          <w:trHeight w:hRule="atLeast" w:val="306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2"/>
              <w:widowControl w:val="1"/>
              <w:spacing w:after="0" w:before="0"/>
              <w:ind/>
              <w:rPr>
                <w:b w:val="1"/>
              </w:rPr>
            </w:pPr>
            <w:r>
              <w:rPr>
                <w:b w:val="1"/>
              </w:rPr>
              <w:t>Всего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ind w:firstLine="33"/>
              <w:jc w:val="lef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1 600 968,5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ind w:firstLine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440 392,00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ind w:firstLine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539 801,50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 w:firstLine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322 500,00</w:t>
            </w:r>
          </w:p>
        </w:tc>
        <w:tc>
          <w:tcPr>
            <w:tcW w:type="dxa" w:w="141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ind w:firstLine="1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141 440,00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ind w:firstLine="1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156 835,00</w:t>
            </w:r>
          </w:p>
        </w:tc>
      </w:tr>
      <w:tr>
        <w:trPr>
          <w:trHeight w:hRule="atLeast" w:val="555"/>
        </w:trPr>
        <w:tc>
          <w:tcPr>
            <w:tcW w:type="dxa" w:w="32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7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2"/>
              <w:widowControl w:val="1"/>
              <w:spacing w:after="0" w:before="0"/>
              <w:ind/>
            </w:pPr>
            <w:r>
              <w:t>Местный бюджет</w:t>
            </w:r>
          </w:p>
        </w:tc>
        <w:tc>
          <w:tcPr>
            <w:tcW w:type="dxa" w:w="15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ind w:firstLine="33"/>
              <w:jc w:val="left"/>
              <w:rPr>
                <w:sz w:val="24"/>
              </w:rPr>
            </w:pPr>
            <w:r>
              <w:rPr>
                <w:sz w:val="24"/>
              </w:rPr>
              <w:t>1 600 968,5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440 392,00</w:t>
            </w: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539 801,50</w:t>
            </w:r>
          </w:p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322 500,00</w:t>
            </w:r>
          </w:p>
        </w:tc>
        <w:tc>
          <w:tcPr>
            <w:tcW w:type="dxa" w:w="141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ind w:firstLine="1"/>
              <w:jc w:val="center"/>
              <w:rPr>
                <w:sz w:val="24"/>
              </w:rPr>
            </w:pPr>
            <w:r>
              <w:rPr>
                <w:sz w:val="24"/>
              </w:rPr>
              <w:t>141 440,00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ind w:firstLine="1"/>
              <w:jc w:val="center"/>
              <w:rPr>
                <w:sz w:val="24"/>
              </w:rPr>
            </w:pPr>
            <w:r>
              <w:rPr>
                <w:sz w:val="24"/>
              </w:rPr>
              <w:t>156 835,00</w:t>
            </w:r>
          </w:p>
        </w:tc>
      </w:tr>
    </w:tbl>
    <w:p w14:paraId="7B000000">
      <w:pPr>
        <w:pStyle w:val="Style_2"/>
        <w:widowControl w:val="1"/>
        <w:spacing w:after="0" w:before="0"/>
        <w:ind/>
        <w:jc w:val="center"/>
        <w:rPr>
          <w:b w:val="1"/>
        </w:rPr>
      </w:pPr>
    </w:p>
    <w:p w14:paraId="7C000000">
      <w:pPr>
        <w:pStyle w:val="Style_2"/>
        <w:widowControl w:val="1"/>
        <w:spacing w:after="0" w:before="0"/>
        <w:ind/>
        <w:jc w:val="center"/>
        <w:rPr>
          <w:b w:val="1"/>
        </w:rPr>
      </w:pPr>
      <w:r>
        <w:rPr>
          <w:b w:val="1"/>
        </w:rPr>
        <w:t>___________________________________</w:t>
      </w:r>
    </w:p>
    <w:p w14:paraId="7D000000">
      <w:pPr>
        <w:pStyle w:val="Style_2"/>
        <w:widowControl w:val="1"/>
        <w:spacing w:after="0" w:before="0"/>
        <w:ind/>
        <w:jc w:val="center"/>
        <w:rPr>
          <w:b w:val="1"/>
        </w:rPr>
      </w:pPr>
    </w:p>
    <w:p w14:paraId="7E000000">
      <w:pPr>
        <w:pStyle w:val="Style_2"/>
        <w:widowControl w:val="1"/>
        <w:spacing w:after="0" w:before="0"/>
        <w:ind/>
        <w:rPr>
          <w:b w:val="1"/>
        </w:rPr>
      </w:pPr>
    </w:p>
    <w:sectPr>
      <w:pgSz w:h="11906" w:orient="landscape" w:w="16838"/>
      <w:pgMar w:bottom="851" w:footer="709" w:gutter="0" w:header="709" w:left="1418" w:right="56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default="1" w:styleId="Style_5_ch" w:type="character">
    <w:name w:val="Normal"/>
    <w:link w:val="Style_5"/>
    <w:rPr>
      <w:rFonts w:ascii="Times New Roman" w:hAnsi="Times New Roman"/>
      <w:sz w:val="28"/>
    </w:rPr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5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2" w:type="paragraph">
    <w:name w:val="Normal (Web)"/>
    <w:basedOn w:val="Style_5"/>
    <w:link w:val="Style_2_ch"/>
    <w:pPr>
      <w:widowControl w:val="1"/>
      <w:spacing w:afterAutospacing="on" w:beforeAutospacing="on"/>
      <w:ind w:firstLine="0"/>
    </w:pPr>
    <w:rPr>
      <w:sz w:val="24"/>
    </w:rPr>
  </w:style>
  <w:style w:styleId="Style_2_ch" w:type="character">
    <w:name w:val="Normal (Web)"/>
    <w:basedOn w:val="Style_5_ch"/>
    <w:link w:val="Style_2"/>
    <w:rPr>
      <w:sz w:val="2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5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3" w:type="paragraph">
    <w:name w:val="ConsPlusTitle"/>
    <w:link w:val="Style_3_ch"/>
    <w:pPr>
      <w:widowControl w:val="0"/>
      <w:spacing w:after="0" w:line="240" w:lineRule="auto"/>
      <w:ind/>
    </w:pPr>
    <w:rPr>
      <w:rFonts w:ascii="Times New Roman" w:hAnsi="Times New Roman"/>
      <w:b w:val="1"/>
      <w:sz w:val="24"/>
    </w:rPr>
  </w:style>
  <w:style w:styleId="Style_3_ch" w:type="character">
    <w:name w:val="ConsPlusTitle"/>
    <w:link w:val="Style_3"/>
    <w:rPr>
      <w:rFonts w:ascii="Times New Roman" w:hAnsi="Times New Roman"/>
      <w:b w:val="1"/>
      <w:sz w:val="24"/>
    </w:rPr>
  </w:style>
  <w:style w:styleId="Style_15" w:type="paragraph">
    <w:name w:val="heading 1"/>
    <w:next w:val="Style_5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Balloon Text"/>
    <w:basedOn w:val="Style_5"/>
    <w:link w:val="Style_22_ch"/>
    <w:rPr>
      <w:rFonts w:ascii="Tahoma" w:hAnsi="Tahoma"/>
      <w:sz w:val="16"/>
    </w:rPr>
  </w:style>
  <w:style w:styleId="Style_22_ch" w:type="character">
    <w:name w:val="Balloon Text"/>
    <w:basedOn w:val="Style_5_ch"/>
    <w:link w:val="Style_22"/>
    <w:rPr>
      <w:rFonts w:ascii="Tahoma" w:hAnsi="Tahoma"/>
      <w:sz w:val="16"/>
    </w:rPr>
  </w:style>
  <w:style w:styleId="Style_23" w:type="paragraph">
    <w:name w:val="toc 5"/>
    <w:next w:val="Style_5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4" w:type="paragraph">
    <w:name w:val="ConsPlusCell"/>
    <w:link w:val="Style_4_ch"/>
    <w:pPr>
      <w:widowControl w:val="0"/>
      <w:spacing w:after="0" w:line="240" w:lineRule="auto"/>
      <w:ind/>
      <w:jc w:val="both"/>
    </w:pPr>
    <w:rPr>
      <w:rFonts w:ascii="Arial" w:hAnsi="Arial"/>
      <w:sz w:val="20"/>
    </w:rPr>
  </w:style>
  <w:style w:styleId="Style_4_ch" w:type="character">
    <w:name w:val="ConsPlusCell"/>
    <w:link w:val="Style_4"/>
    <w:rPr>
      <w:rFonts w:ascii="Arial" w:hAnsi="Arial"/>
      <w:sz w:val="20"/>
    </w:rPr>
  </w:style>
  <w:style w:styleId="Style_24" w:type="paragraph">
    <w:name w:val="Subtitle"/>
    <w:next w:val="Style_5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5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5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2024-11-13T11:36:00Z</dcterms:created>
  <dcterms:modified xsi:type="dcterms:W3CDTF">2026-01-12T07:17:02Z</dcterms:modified>
</cp:coreProperties>
</file>