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 xml:space="preserve">Исполнитель: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управление  по вопросам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жизнеобеспечения, ГО и ЧС </w:t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                         </w:t>
      </w:r>
      <w:r w:rsidR="000871CF">
        <w:rPr>
          <w:sz w:val="28"/>
          <w:szCs w:val="28"/>
        </w:rPr>
        <w:t>Ю.В. Рудюк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>Согласовано:</w:t>
      </w: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А.С. Наумов</w:t>
      </w: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И.А. Киселева</w:t>
      </w:r>
    </w:p>
    <w:p w:rsidR="00CB3A6F" w:rsidRPr="00F27A66" w:rsidRDefault="00CB3A6F" w:rsidP="00CB3A6F">
      <w:pPr>
        <w:ind w:left="708" w:firstLine="708"/>
        <w:rPr>
          <w:sz w:val="28"/>
          <w:szCs w:val="28"/>
        </w:rPr>
      </w:pP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О.А. Горшкова </w:t>
      </w:r>
    </w:p>
    <w:p w:rsidR="00CB3A6F" w:rsidRPr="00F27A66" w:rsidRDefault="00CB3A6F" w:rsidP="00CB3A6F">
      <w:pPr>
        <w:rPr>
          <w:sz w:val="28"/>
          <w:szCs w:val="28"/>
        </w:rPr>
      </w:pP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И.В. Бабушкина </w:t>
      </w:r>
    </w:p>
    <w:p w:rsidR="00CB3A6F" w:rsidRPr="00F27A66" w:rsidRDefault="00CB3A6F" w:rsidP="00CB3A6F">
      <w:pPr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ab/>
      </w:r>
    </w:p>
    <w:p w:rsidR="00CB3A6F" w:rsidRPr="00F27A66" w:rsidRDefault="00CB3A6F" w:rsidP="00CB3A6F">
      <w:pPr>
        <w:pStyle w:val="a7"/>
        <w:spacing w:after="0"/>
        <w:ind w:firstLine="156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Список рассылки: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  <w:szCs w:val="28"/>
        </w:rPr>
        <w:t>1.</w:t>
      </w:r>
      <w:r w:rsidRPr="00F27A66">
        <w:rPr>
          <w:sz w:val="28"/>
        </w:rPr>
        <w:t xml:space="preserve"> Управление делопроизводства 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2. Управление по вопросам жизнеобеспечения, ГО и ЧС (2 экз.)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3.Управление по бюджету и финансам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4. Комитет по правовой работе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5. Отдел по бухгалтерскому учету и отчетности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6. МКУ «УКС г. Алексин»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 xml:space="preserve">7. </w:t>
      </w:r>
      <w:r>
        <w:rPr>
          <w:sz w:val="28"/>
          <w:szCs w:val="28"/>
        </w:rPr>
        <w:t xml:space="preserve">Управление по организационной </w:t>
      </w:r>
      <w:r w:rsidRPr="00F27A66">
        <w:rPr>
          <w:sz w:val="28"/>
          <w:szCs w:val="28"/>
        </w:rPr>
        <w:t>работе и информационному обеспечению</w:t>
      </w:r>
      <w:r w:rsidRPr="00F27A66">
        <w:rPr>
          <w:sz w:val="28"/>
        </w:rPr>
        <w:t>.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 xml:space="preserve">8. Контрольно-счетная палата. 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9. Комитет по культуре, молодежной политике и спорту (8 экз.).</w:t>
      </w: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>10. Управление по работе с сельскими территориями</w:t>
      </w:r>
    </w:p>
    <w:p w:rsidR="00601A44" w:rsidRDefault="00601A44" w:rsidP="00003A9B">
      <w:pPr>
        <w:jc w:val="center"/>
        <w:rPr>
          <w:color w:val="000000"/>
        </w:rPr>
      </w:pPr>
    </w:p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Default="00601A44" w:rsidP="00601A44"/>
    <w:p w:rsidR="00601A44" w:rsidRDefault="00601A44" w:rsidP="00601A44">
      <w:pPr>
        <w:ind w:firstLine="708"/>
      </w:pPr>
      <w:r>
        <w:t>Исп. Рудюк Ю.В.</w:t>
      </w:r>
    </w:p>
    <w:p w:rsidR="00601A44" w:rsidRDefault="00601A44" w:rsidP="00601A44">
      <w:pPr>
        <w:ind w:firstLine="708"/>
      </w:pPr>
      <w:r>
        <w:t>тел. 4-19-69</w:t>
      </w:r>
    </w:p>
    <w:p w:rsidR="00601A44" w:rsidRDefault="00601A44" w:rsidP="00601A44"/>
    <w:p w:rsidR="003C7B2D" w:rsidRPr="00601A44" w:rsidRDefault="003C7B2D" w:rsidP="00601A44">
      <w:pPr>
        <w:sectPr w:rsidR="003C7B2D" w:rsidRPr="00601A44" w:rsidSect="003C7B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78"/>
        <w:gridCol w:w="286"/>
        <w:gridCol w:w="6236"/>
        <w:gridCol w:w="1558"/>
        <w:gridCol w:w="1417"/>
        <w:gridCol w:w="1420"/>
        <w:gridCol w:w="1435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 xml:space="preserve">Протяженность отремонтированных автомобильных дорог общего </w:t>
            </w:r>
            <w:r w:rsidRPr="00AF6C77">
              <w:lastRenderedPageBreak/>
              <w:t>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AF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  <w:trHeight w:val="466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AF6C77" w:rsidRDefault="0043101B" w:rsidP="00AF0684">
            <w:pPr>
              <w:ind w:left="141"/>
            </w:pPr>
            <w:r w:rsidRPr="00AF6C77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AF6C77" w:rsidRDefault="003B36C7" w:rsidP="00AF0684">
            <w:pPr>
              <w:ind w:left="141"/>
            </w:pPr>
            <w:r w:rsidRPr="00C36D5A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53015D">
            <w:pPr>
              <w:ind w:left="141"/>
            </w:pPr>
            <w:r w:rsidRPr="00AF6C77"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детских площадок в рамках реализации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20099D">
            <w:pPr>
              <w:ind w:left="141"/>
            </w:pPr>
            <w:r w:rsidRPr="00AF6C77"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EE44DE">
            <w:pPr>
              <w:ind w:left="141"/>
            </w:pPr>
            <w:r w:rsidRPr="00AF6C77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13C77" w:rsidP="008009ED">
            <w:pPr>
              <w:ind w:firstLine="83"/>
              <w:jc w:val="center"/>
              <w:rPr>
                <w:b/>
              </w:rPr>
            </w:pPr>
            <w:r w:rsidRPr="00EC02F8">
              <w:rPr>
                <w:b/>
              </w:rPr>
              <w:t>632 968 955,45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813C77" w:rsidP="00695BBF">
            <w:pPr>
              <w:ind w:firstLine="83"/>
              <w:jc w:val="center"/>
              <w:rPr>
                <w:b/>
              </w:rPr>
            </w:pPr>
            <w:r w:rsidRPr="00EC02F8">
              <w:rPr>
                <w:b/>
              </w:rPr>
              <w:t>271 649 352,91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ind w:firstLine="83"/>
              <w:jc w:val="center"/>
              <w:rPr>
                <w:b/>
              </w:rPr>
            </w:pPr>
            <w:r w:rsidRPr="0080156A">
              <w:rPr>
                <w:b/>
              </w:rPr>
              <w:t>191 261 768,88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53015D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53015D" w:rsidP="00695BBF">
            <w:pPr>
              <w:jc w:val="center"/>
            </w:pPr>
            <w:r w:rsidRPr="00EC02F8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13C77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73 475 043,27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813C77" w:rsidP="00695BBF">
            <w:pPr>
              <w:jc w:val="center"/>
            </w:pPr>
            <w:r w:rsidRPr="00EC02F8">
              <w:t>69 374 877,40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2 552 075,54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900739" w:rsidP="00DA58BD">
            <w:pPr>
              <w:jc w:val="center"/>
              <w:rPr>
                <w:b/>
              </w:rPr>
            </w:pPr>
            <w:r w:rsidRPr="00EC02F8">
              <w:rPr>
                <w:b/>
              </w:rPr>
              <w:t>208 447 969,02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900739" w:rsidP="00695BBF">
            <w:pPr>
              <w:jc w:val="center"/>
            </w:pPr>
            <w:r w:rsidRPr="00EC02F8">
              <w:t>75 544 285,36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03CDC" w:rsidP="00DA58BD">
            <w:pPr>
              <w:jc w:val="center"/>
              <w:rPr>
                <w:b/>
              </w:rPr>
            </w:pPr>
            <w:r w:rsidRPr="00EC02F8">
              <w:rPr>
                <w:b/>
              </w:rPr>
              <w:t>303 091 525,99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C36D5A" w:rsidP="00695BBF">
            <w:pPr>
              <w:jc w:val="center"/>
            </w:pPr>
            <w:r w:rsidRPr="00EC02F8">
              <w:t>102 644 425,99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EC02F8" w:rsidRDefault="00803CDC" w:rsidP="00695BBF">
            <w:pPr>
              <w:jc w:val="center"/>
              <w:rPr>
                <w:b/>
              </w:rPr>
            </w:pPr>
            <w:r w:rsidRPr="00EC02F8">
              <w:rPr>
                <w:b/>
              </w:rPr>
              <w:t>2 478 066,32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EC02F8" w:rsidRDefault="00C36D5A" w:rsidP="00695BBF">
            <w:pPr>
              <w:jc w:val="center"/>
            </w:pPr>
            <w:r w:rsidRPr="00EC02F8">
              <w:t>2 478 066,32</w:t>
            </w:r>
          </w:p>
        </w:tc>
        <w:tc>
          <w:tcPr>
            <w:tcW w:w="461" w:type="pct"/>
            <w:vAlign w:val="center"/>
          </w:tcPr>
          <w:p w:rsidR="0053015D" w:rsidRPr="0080156A" w:rsidRDefault="0053015D" w:rsidP="00695BBF">
            <w:pPr>
              <w:jc w:val="center"/>
            </w:pPr>
            <w:r w:rsidRPr="0080156A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759">
              <w:rPr>
                <w:b/>
                <w:color w:val="000000"/>
                <w:sz w:val="18"/>
                <w:szCs w:val="18"/>
              </w:rPr>
              <w:t>28 956 975,62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DE37E1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0E369D" w:rsidRDefault="0034067A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9A704F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025CA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87 960 669,75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646B85" w:rsidRDefault="00DE37E1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62 590 077,69</w:t>
            </w:r>
          </w:p>
        </w:tc>
        <w:tc>
          <w:tcPr>
            <w:tcW w:w="368" w:type="pct"/>
            <w:vAlign w:val="center"/>
          </w:tcPr>
          <w:p w:rsidR="0022586C" w:rsidRPr="009C36B8" w:rsidRDefault="005029A6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22586C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B009D2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9D2">
              <w:rPr>
                <w:color w:val="000000" w:themeColor="text1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9C36B8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646B85" w:rsidRDefault="00646B85" w:rsidP="00C4341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6B85">
              <w:rPr>
                <w:b/>
                <w:color w:val="000000" w:themeColor="text1"/>
                <w:sz w:val="18"/>
                <w:szCs w:val="18"/>
              </w:rPr>
              <w:t>36 775 928,79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92F6E" w:rsidRDefault="00B009D2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092F6E" w:rsidRDefault="0022586C" w:rsidP="00C434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F6E">
              <w:rPr>
                <w:color w:val="000000" w:themeColor="text1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1 035 319,43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527 907,59</w:t>
            </w:r>
          </w:p>
        </w:tc>
        <w:tc>
          <w:tcPr>
            <w:tcW w:w="368" w:type="pct"/>
            <w:vAlign w:val="center"/>
          </w:tcPr>
          <w:p w:rsidR="0022586C" w:rsidRPr="00EC02F8" w:rsidRDefault="00E27C74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DE37E1" w:rsidP="00C434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C02F8">
              <w:rPr>
                <w:b/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2F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22586C" w:rsidRPr="00EC02F8" w:rsidRDefault="00DE37E1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DE37E1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284 199,55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 xml:space="preserve">Удаление (ликвидация) мест размещения отходов, не соответствующих </w:t>
            </w:r>
            <w:r w:rsidRPr="004F0670">
              <w:rPr>
                <w:color w:val="0070C0"/>
              </w:rPr>
              <w:lastRenderedPageBreak/>
              <w:t>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E408C4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15 319 675,59</w:t>
            </w:r>
          </w:p>
        </w:tc>
        <w:tc>
          <w:tcPr>
            <w:tcW w:w="368" w:type="pct"/>
            <w:vAlign w:val="center"/>
          </w:tcPr>
          <w:p w:rsidR="00FC5F6B" w:rsidRPr="00072A58" w:rsidRDefault="00E408C4" w:rsidP="00D36521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15 319 675,59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4972A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18 024 132,15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16 719 778,83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4972A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17 166 248,58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15 935 199,92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857 883,57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784 578,91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Предоставление межбюджетных трансфертов 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0D7151" w:rsidP="009D0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189 202 112,34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0D715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72 484 934,18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BE1157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62022A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DF3A90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072A58" w:rsidRDefault="000D7151" w:rsidP="001936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179 823 389,02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072A58" w:rsidRDefault="000D7151" w:rsidP="00F67E5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64 980 800,86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072A58" w:rsidRDefault="000D7151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vAlign w:val="center"/>
          </w:tcPr>
          <w:p w:rsidR="00410CBE" w:rsidRPr="00072A58" w:rsidRDefault="000D715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742 804,15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C36D5A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72 924 110,48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32 924 110,48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DE5195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546E91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072A58" w:rsidRDefault="00813C77" w:rsidP="002B1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62 106 101,13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72A58" w:rsidRDefault="00813C77" w:rsidP="004F06DC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22 106 101,13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B54CB2" w:rsidRDefault="0057029D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4CB2">
              <w:rPr>
                <w:b/>
                <w:color w:val="000000"/>
                <w:sz w:val="18"/>
                <w:szCs w:val="18"/>
              </w:rPr>
              <w:t>1 451 062,62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033EA9" w:rsidRDefault="0057029D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1 451 062,62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3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72A58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072A58" w:rsidRDefault="00A43320" w:rsidP="00CF6B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 xml:space="preserve">17 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0</w:t>
            </w:r>
            <w:r w:rsidRPr="00072A58">
              <w:rPr>
                <w:b/>
                <w:color w:val="000000"/>
                <w:sz w:val="18"/>
                <w:szCs w:val="18"/>
              </w:rPr>
              <w:t>50</w:t>
            </w:r>
            <w:r w:rsidR="00546E91" w:rsidRPr="00072A58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546E91" w:rsidRPr="00072A58" w:rsidRDefault="00F67E53" w:rsidP="00CF6BBA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3 </w:t>
            </w:r>
            <w:r w:rsidR="00CF6BBA" w:rsidRPr="00072A58">
              <w:rPr>
                <w:color w:val="000000"/>
                <w:sz w:val="18"/>
                <w:szCs w:val="18"/>
              </w:rPr>
              <w:t>0</w:t>
            </w:r>
            <w:r w:rsidRPr="00072A58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033EA9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26 347 100,00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C36D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26 347 100,00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4 900 000,00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F041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193 799 453,73</w:t>
            </w:r>
          </w:p>
        </w:tc>
        <w:tc>
          <w:tcPr>
            <w:tcW w:w="368" w:type="pct"/>
            <w:vAlign w:val="center"/>
          </w:tcPr>
          <w:p w:rsidR="00CF6BBA" w:rsidRPr="00072A58" w:rsidRDefault="00F041BB" w:rsidP="00D22C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68 799 453,73</w:t>
            </w:r>
          </w:p>
        </w:tc>
        <w:tc>
          <w:tcPr>
            <w:tcW w:w="368" w:type="pct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F041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193 199 453,73</w:t>
            </w:r>
          </w:p>
        </w:tc>
        <w:tc>
          <w:tcPr>
            <w:tcW w:w="368" w:type="pct"/>
            <w:vAlign w:val="center"/>
          </w:tcPr>
          <w:p w:rsidR="00CF6BBA" w:rsidRPr="00072A58" w:rsidRDefault="00F041BB" w:rsidP="004F0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68 199 453,73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CF6BBA" w:rsidRPr="003E5922" w:rsidRDefault="00CF6BBA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0F0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</w:t>
            </w:r>
            <w:r>
              <w:rPr>
                <w:b/>
                <w:color w:val="000000"/>
                <w:sz w:val="18"/>
                <w:szCs w:val="18"/>
              </w:rPr>
              <w:t>59</w:t>
            </w:r>
            <w:r w:rsidRPr="00BA1C39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2 590</w:t>
            </w:r>
            <w:r w:rsidRPr="00BA1C39">
              <w:rPr>
                <w:b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1 090 000,00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33EA9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33EA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9D4A6A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CF6BBA" w:rsidRPr="00194206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F6BBA" w:rsidRPr="00194206" w:rsidTr="00C86D4B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9007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23 541 377,00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9007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7 560 998,00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0464EF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23 541 377,00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7 560 998,00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8F0B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525 454 153,55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813C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190 809 496,39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165 239 000,16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AC36D4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AC36D4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F6BB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813C77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18 002 865,90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813C77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16 128 275,90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900739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206 554 766,02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900739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74 231 798,86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298 702 654,86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98 255 554,86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072A58" w:rsidRDefault="00C36D5A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2 193 866,77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072A58" w:rsidRDefault="00C36D5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2 193 866,77</w:t>
            </w:r>
            <w:r w:rsidR="00CF6BBA" w:rsidRPr="00072A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F63B6D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63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lastRenderedPageBreak/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lastRenderedPageBreak/>
        <w:t>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 xml:space="preserve">Выполнение работ по ремонту внутридворовой территории д. 57 ул. Металлистов включая </w:t>
            </w:r>
            <w:r w:rsidRPr="00B97EFD">
              <w:rPr>
                <w:color w:val="000000"/>
                <w:sz w:val="24"/>
                <w:szCs w:val="24"/>
              </w:rPr>
              <w:lastRenderedPageBreak/>
              <w:t>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99" w:rsidRDefault="00C04C99" w:rsidP="00F96F3D">
      <w:r>
        <w:separator/>
      </w:r>
    </w:p>
  </w:endnote>
  <w:endnote w:type="continuationSeparator" w:id="1">
    <w:p w:rsidR="00C04C99" w:rsidRDefault="00C04C99" w:rsidP="00F9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99" w:rsidRDefault="00C04C99" w:rsidP="00F96F3D">
      <w:r>
        <w:separator/>
      </w:r>
    </w:p>
  </w:footnote>
  <w:footnote w:type="continuationSeparator" w:id="1">
    <w:p w:rsidR="00C04C99" w:rsidRDefault="00C04C99" w:rsidP="00F9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F8" w:rsidRDefault="0063494F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02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02F8" w:rsidRDefault="00EC02F8" w:rsidP="003E51C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F8" w:rsidRDefault="00EC02F8" w:rsidP="003E51C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2A58"/>
    <w:rsid w:val="00076366"/>
    <w:rsid w:val="000871CF"/>
    <w:rsid w:val="000922B2"/>
    <w:rsid w:val="00092F6E"/>
    <w:rsid w:val="000A58BC"/>
    <w:rsid w:val="000A5AC2"/>
    <w:rsid w:val="000A759F"/>
    <w:rsid w:val="000B0C01"/>
    <w:rsid w:val="000C3A3A"/>
    <w:rsid w:val="000C5A1D"/>
    <w:rsid w:val="000C6C01"/>
    <w:rsid w:val="000D7151"/>
    <w:rsid w:val="000E369D"/>
    <w:rsid w:val="000F0A5C"/>
    <w:rsid w:val="00100A37"/>
    <w:rsid w:val="001241FF"/>
    <w:rsid w:val="00124926"/>
    <w:rsid w:val="00125B69"/>
    <w:rsid w:val="00132977"/>
    <w:rsid w:val="00134D3A"/>
    <w:rsid w:val="00146CBE"/>
    <w:rsid w:val="001503F7"/>
    <w:rsid w:val="00162149"/>
    <w:rsid w:val="00162358"/>
    <w:rsid w:val="00182DB1"/>
    <w:rsid w:val="00193654"/>
    <w:rsid w:val="00194103"/>
    <w:rsid w:val="001A366A"/>
    <w:rsid w:val="001A4426"/>
    <w:rsid w:val="001A77D8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364D"/>
    <w:rsid w:val="00217607"/>
    <w:rsid w:val="00220C7E"/>
    <w:rsid w:val="00221E2C"/>
    <w:rsid w:val="0022586C"/>
    <w:rsid w:val="00227628"/>
    <w:rsid w:val="00244272"/>
    <w:rsid w:val="00251021"/>
    <w:rsid w:val="00256B8E"/>
    <w:rsid w:val="00286AC7"/>
    <w:rsid w:val="0029629B"/>
    <w:rsid w:val="002A1FD3"/>
    <w:rsid w:val="002A315A"/>
    <w:rsid w:val="002B14E0"/>
    <w:rsid w:val="002C604F"/>
    <w:rsid w:val="002D580E"/>
    <w:rsid w:val="00307A46"/>
    <w:rsid w:val="00332A3B"/>
    <w:rsid w:val="0034067A"/>
    <w:rsid w:val="00347ABE"/>
    <w:rsid w:val="00347D51"/>
    <w:rsid w:val="00350DA5"/>
    <w:rsid w:val="00353CA4"/>
    <w:rsid w:val="00356D67"/>
    <w:rsid w:val="003575C3"/>
    <w:rsid w:val="00360DF8"/>
    <w:rsid w:val="00373765"/>
    <w:rsid w:val="00375054"/>
    <w:rsid w:val="003809C3"/>
    <w:rsid w:val="00381EBC"/>
    <w:rsid w:val="00384B9C"/>
    <w:rsid w:val="003877C5"/>
    <w:rsid w:val="00391741"/>
    <w:rsid w:val="0039184E"/>
    <w:rsid w:val="0039284C"/>
    <w:rsid w:val="00397E67"/>
    <w:rsid w:val="003A4CFC"/>
    <w:rsid w:val="003A5DB6"/>
    <w:rsid w:val="003B09CA"/>
    <w:rsid w:val="003B1CDC"/>
    <w:rsid w:val="003B36C7"/>
    <w:rsid w:val="003B4AEB"/>
    <w:rsid w:val="003C2EE3"/>
    <w:rsid w:val="003C5B67"/>
    <w:rsid w:val="003C7B2D"/>
    <w:rsid w:val="003E51CF"/>
    <w:rsid w:val="003E5922"/>
    <w:rsid w:val="003F2D73"/>
    <w:rsid w:val="003F512E"/>
    <w:rsid w:val="003F6CDA"/>
    <w:rsid w:val="004033BF"/>
    <w:rsid w:val="004057B0"/>
    <w:rsid w:val="00410C30"/>
    <w:rsid w:val="00410CBE"/>
    <w:rsid w:val="00411B41"/>
    <w:rsid w:val="00430A86"/>
    <w:rsid w:val="0043101B"/>
    <w:rsid w:val="004325A6"/>
    <w:rsid w:val="00432F10"/>
    <w:rsid w:val="004333E2"/>
    <w:rsid w:val="004339A3"/>
    <w:rsid w:val="00434118"/>
    <w:rsid w:val="004374B3"/>
    <w:rsid w:val="004410E0"/>
    <w:rsid w:val="00447D39"/>
    <w:rsid w:val="00454B09"/>
    <w:rsid w:val="00464B6F"/>
    <w:rsid w:val="0047069E"/>
    <w:rsid w:val="00471AF4"/>
    <w:rsid w:val="004731EF"/>
    <w:rsid w:val="00473B05"/>
    <w:rsid w:val="00474E44"/>
    <w:rsid w:val="00485449"/>
    <w:rsid w:val="0048680A"/>
    <w:rsid w:val="0049329D"/>
    <w:rsid w:val="00495243"/>
    <w:rsid w:val="004972AC"/>
    <w:rsid w:val="004D14A0"/>
    <w:rsid w:val="004D28A3"/>
    <w:rsid w:val="004D31BD"/>
    <w:rsid w:val="004E2AD7"/>
    <w:rsid w:val="004E377E"/>
    <w:rsid w:val="004E4043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1375"/>
    <w:rsid w:val="005852FF"/>
    <w:rsid w:val="005862D1"/>
    <w:rsid w:val="0059595F"/>
    <w:rsid w:val="005A1547"/>
    <w:rsid w:val="005B635D"/>
    <w:rsid w:val="005D7512"/>
    <w:rsid w:val="005D7E18"/>
    <w:rsid w:val="005E0E3F"/>
    <w:rsid w:val="005E20B3"/>
    <w:rsid w:val="005E6D16"/>
    <w:rsid w:val="005E7035"/>
    <w:rsid w:val="005F5CCF"/>
    <w:rsid w:val="00601A44"/>
    <w:rsid w:val="006025CA"/>
    <w:rsid w:val="00615C39"/>
    <w:rsid w:val="0062022A"/>
    <w:rsid w:val="00632BC8"/>
    <w:rsid w:val="00633B47"/>
    <w:rsid w:val="0063494F"/>
    <w:rsid w:val="00646B85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710E7C"/>
    <w:rsid w:val="007127EA"/>
    <w:rsid w:val="00722A61"/>
    <w:rsid w:val="007277D1"/>
    <w:rsid w:val="007308A0"/>
    <w:rsid w:val="00731D86"/>
    <w:rsid w:val="00733D3F"/>
    <w:rsid w:val="00737251"/>
    <w:rsid w:val="0075360A"/>
    <w:rsid w:val="007571C9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7B5F"/>
    <w:rsid w:val="008009ED"/>
    <w:rsid w:val="0080156A"/>
    <w:rsid w:val="00803CDC"/>
    <w:rsid w:val="00806084"/>
    <w:rsid w:val="0080705D"/>
    <w:rsid w:val="00810C5F"/>
    <w:rsid w:val="00813C77"/>
    <w:rsid w:val="00830249"/>
    <w:rsid w:val="00834F03"/>
    <w:rsid w:val="008408B7"/>
    <w:rsid w:val="00841505"/>
    <w:rsid w:val="0084312F"/>
    <w:rsid w:val="008431A1"/>
    <w:rsid w:val="00847231"/>
    <w:rsid w:val="00847731"/>
    <w:rsid w:val="008510EF"/>
    <w:rsid w:val="0085490A"/>
    <w:rsid w:val="00857698"/>
    <w:rsid w:val="00861FF2"/>
    <w:rsid w:val="008666FA"/>
    <w:rsid w:val="00883A94"/>
    <w:rsid w:val="00887AD1"/>
    <w:rsid w:val="00887EB4"/>
    <w:rsid w:val="00894381"/>
    <w:rsid w:val="008A3B5D"/>
    <w:rsid w:val="008A3BDA"/>
    <w:rsid w:val="008B1248"/>
    <w:rsid w:val="008B3CCE"/>
    <w:rsid w:val="008C444D"/>
    <w:rsid w:val="008D65F7"/>
    <w:rsid w:val="008E2CF3"/>
    <w:rsid w:val="008E4A0B"/>
    <w:rsid w:val="008F0BD5"/>
    <w:rsid w:val="00900739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654B4"/>
    <w:rsid w:val="0097612E"/>
    <w:rsid w:val="009769B0"/>
    <w:rsid w:val="009803DC"/>
    <w:rsid w:val="0098052C"/>
    <w:rsid w:val="00982A4A"/>
    <w:rsid w:val="00993113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B50E6"/>
    <w:rsid w:val="00AC36D4"/>
    <w:rsid w:val="00AD6C8F"/>
    <w:rsid w:val="00AE47C5"/>
    <w:rsid w:val="00AE4EC7"/>
    <w:rsid w:val="00AF0684"/>
    <w:rsid w:val="00AF6C77"/>
    <w:rsid w:val="00B009D2"/>
    <w:rsid w:val="00B10B73"/>
    <w:rsid w:val="00B11A60"/>
    <w:rsid w:val="00B14B5B"/>
    <w:rsid w:val="00B2720D"/>
    <w:rsid w:val="00B2755D"/>
    <w:rsid w:val="00B31DD0"/>
    <w:rsid w:val="00B34888"/>
    <w:rsid w:val="00B36CD0"/>
    <w:rsid w:val="00B420B4"/>
    <w:rsid w:val="00B54CB2"/>
    <w:rsid w:val="00B56B6B"/>
    <w:rsid w:val="00B704BB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F3ED5"/>
    <w:rsid w:val="00BF5302"/>
    <w:rsid w:val="00BF7EAC"/>
    <w:rsid w:val="00C009C4"/>
    <w:rsid w:val="00C022F2"/>
    <w:rsid w:val="00C04AD3"/>
    <w:rsid w:val="00C04C99"/>
    <w:rsid w:val="00C04DD8"/>
    <w:rsid w:val="00C0610C"/>
    <w:rsid w:val="00C11557"/>
    <w:rsid w:val="00C14285"/>
    <w:rsid w:val="00C14DDD"/>
    <w:rsid w:val="00C23C7A"/>
    <w:rsid w:val="00C36D5A"/>
    <w:rsid w:val="00C43411"/>
    <w:rsid w:val="00C55932"/>
    <w:rsid w:val="00C71709"/>
    <w:rsid w:val="00C77D50"/>
    <w:rsid w:val="00C83356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F4441"/>
    <w:rsid w:val="00CF4A41"/>
    <w:rsid w:val="00CF4C07"/>
    <w:rsid w:val="00CF6BBA"/>
    <w:rsid w:val="00D01A66"/>
    <w:rsid w:val="00D03AF3"/>
    <w:rsid w:val="00D1039D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1173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734F"/>
    <w:rsid w:val="00DC14CD"/>
    <w:rsid w:val="00DC6F92"/>
    <w:rsid w:val="00DD3D5D"/>
    <w:rsid w:val="00DE37E1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08C4"/>
    <w:rsid w:val="00E449C2"/>
    <w:rsid w:val="00E47CE5"/>
    <w:rsid w:val="00E53D35"/>
    <w:rsid w:val="00E54016"/>
    <w:rsid w:val="00E5651F"/>
    <w:rsid w:val="00E57195"/>
    <w:rsid w:val="00E7024C"/>
    <w:rsid w:val="00E7235E"/>
    <w:rsid w:val="00E7635C"/>
    <w:rsid w:val="00E85773"/>
    <w:rsid w:val="00E9097A"/>
    <w:rsid w:val="00E92C94"/>
    <w:rsid w:val="00EA0D10"/>
    <w:rsid w:val="00EB30FF"/>
    <w:rsid w:val="00EC02F8"/>
    <w:rsid w:val="00EC1BD7"/>
    <w:rsid w:val="00ED584D"/>
    <w:rsid w:val="00ED5A05"/>
    <w:rsid w:val="00EE0828"/>
    <w:rsid w:val="00EE44DE"/>
    <w:rsid w:val="00EE4C5D"/>
    <w:rsid w:val="00EE6026"/>
    <w:rsid w:val="00F01E93"/>
    <w:rsid w:val="00F041BB"/>
    <w:rsid w:val="00F0458C"/>
    <w:rsid w:val="00F11826"/>
    <w:rsid w:val="00F17DDE"/>
    <w:rsid w:val="00F216EC"/>
    <w:rsid w:val="00F22FCF"/>
    <w:rsid w:val="00F310D0"/>
    <w:rsid w:val="00F342A8"/>
    <w:rsid w:val="00F44171"/>
    <w:rsid w:val="00F50C4F"/>
    <w:rsid w:val="00F52432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5F6B"/>
    <w:rsid w:val="00FD2C79"/>
    <w:rsid w:val="00FE75F1"/>
    <w:rsid w:val="00FE7D25"/>
    <w:rsid w:val="00FF2DAB"/>
    <w:rsid w:val="00FF34C6"/>
    <w:rsid w:val="00FF4669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b/>
      <w:bCs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F278-6095-4C1F-8420-27D67944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44</Pages>
  <Words>14040</Words>
  <Characters>80032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106</cp:revision>
  <dcterms:created xsi:type="dcterms:W3CDTF">2023-03-27T14:42:00Z</dcterms:created>
  <dcterms:modified xsi:type="dcterms:W3CDTF">2023-09-18T13:43:00Z</dcterms:modified>
</cp:coreProperties>
</file>