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jc w:val="center"/>
        <w:tblLayout w:type="fixed"/>
        <w:tblLook w:val="04A0"/>
      </w:tblPr>
      <w:tblGrid>
        <w:gridCol w:w="4792"/>
        <w:gridCol w:w="4784"/>
      </w:tblGrid>
      <w:tr w:rsidR="006B16C5" w:rsidTr="00475ECA">
        <w:trPr>
          <w:jc w:val="center"/>
        </w:trPr>
        <w:tc>
          <w:tcPr>
            <w:tcW w:w="9576" w:type="dxa"/>
            <w:gridSpan w:val="2"/>
            <w:hideMark/>
          </w:tcPr>
          <w:p w:rsidR="006B16C5" w:rsidRDefault="006B16C5" w:rsidP="00475ECA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6B16C5" w:rsidRPr="007E43B7" w:rsidTr="00475ECA">
        <w:trPr>
          <w:jc w:val="center"/>
        </w:trPr>
        <w:tc>
          <w:tcPr>
            <w:tcW w:w="9576" w:type="dxa"/>
            <w:gridSpan w:val="2"/>
            <w:hideMark/>
          </w:tcPr>
          <w:p w:rsidR="006B16C5" w:rsidRDefault="006B16C5" w:rsidP="00475ECA">
            <w:pPr>
              <w:pStyle w:val="1"/>
              <w:keepNext w:val="0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Муниципальное образование город Алексин</w:t>
            </w:r>
          </w:p>
          <w:p w:rsidR="006B16C5" w:rsidRPr="007E43B7" w:rsidRDefault="006B16C5" w:rsidP="00475ECA">
            <w:pPr>
              <w:rPr>
                <w:lang w:eastAsia="ar-SA"/>
              </w:rPr>
            </w:pPr>
          </w:p>
        </w:tc>
      </w:tr>
      <w:tr w:rsidR="006B16C5" w:rsidTr="00475ECA">
        <w:trPr>
          <w:jc w:val="center"/>
        </w:trPr>
        <w:tc>
          <w:tcPr>
            <w:tcW w:w="9576" w:type="dxa"/>
            <w:gridSpan w:val="2"/>
            <w:hideMark/>
          </w:tcPr>
          <w:p w:rsidR="006B16C5" w:rsidRDefault="006B16C5" w:rsidP="00475ECA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  <w:p w:rsidR="006B16C5" w:rsidRDefault="006B16C5" w:rsidP="00475ECA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B16C5" w:rsidRDefault="006B16C5" w:rsidP="00475ECA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6B16C5" w:rsidTr="00475ECA">
        <w:trPr>
          <w:jc w:val="center"/>
        </w:trPr>
        <w:tc>
          <w:tcPr>
            <w:tcW w:w="4792" w:type="dxa"/>
            <w:hideMark/>
          </w:tcPr>
          <w:p w:rsidR="006B16C5" w:rsidRDefault="006B16C5" w:rsidP="00475ECA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</w:t>
            </w:r>
            <w:r w:rsidR="00981312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5 </w:t>
            </w:r>
            <w:r w:rsidR="00981312">
              <w:rPr>
                <w:rFonts w:ascii="Arial" w:hAnsi="Arial" w:cs="Arial"/>
                <w:b/>
              </w:rPr>
              <w:t xml:space="preserve">декабря </w:t>
            </w:r>
            <w:r>
              <w:rPr>
                <w:rFonts w:ascii="Arial" w:hAnsi="Arial" w:cs="Arial"/>
                <w:b/>
              </w:rPr>
              <w:t xml:space="preserve">2018 года </w:t>
            </w:r>
          </w:p>
          <w:p w:rsidR="006B16C5" w:rsidRDefault="006B16C5" w:rsidP="00475ECA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B16C5" w:rsidRDefault="006B16C5" w:rsidP="00475ECA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B16C5" w:rsidRDefault="006B16C5" w:rsidP="00475ECA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4784" w:type="dxa"/>
            <w:hideMark/>
          </w:tcPr>
          <w:p w:rsidR="006B16C5" w:rsidRDefault="006B16C5" w:rsidP="00475ECA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981312">
              <w:rPr>
                <w:rFonts w:ascii="Arial" w:hAnsi="Arial" w:cs="Arial"/>
                <w:b/>
              </w:rPr>
              <w:t>2636</w:t>
            </w:r>
          </w:p>
          <w:p w:rsidR="006B16C5" w:rsidRDefault="006B16C5" w:rsidP="00475ECA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6875D8" w:rsidRPr="008C009C" w:rsidRDefault="006875D8" w:rsidP="00687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09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</w:t>
      </w:r>
      <w:r w:rsidR="00690D1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C009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образования город Алексин от 17 августа 2015 года №1843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 Алексин и финансового обеспечения выполнения муниципального задания» </w:t>
      </w:r>
    </w:p>
    <w:p w:rsidR="006875D8" w:rsidRPr="001A25AF" w:rsidRDefault="006875D8" w:rsidP="006875D8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75D8" w:rsidRPr="008C009C" w:rsidRDefault="006875D8" w:rsidP="0068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09C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29388B">
        <w:rPr>
          <w:rFonts w:ascii="Times New Roman" w:hAnsi="Times New Roman" w:cs="Times New Roman"/>
          <w:bCs/>
          <w:sz w:val="28"/>
          <w:szCs w:val="28"/>
        </w:rPr>
        <w:t>19</w:t>
      </w:r>
      <w:r w:rsidRPr="008C0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88B">
        <w:rPr>
          <w:rFonts w:ascii="Times New Roman" w:hAnsi="Times New Roman" w:cs="Times New Roman"/>
          <w:bCs/>
          <w:sz w:val="28"/>
          <w:szCs w:val="28"/>
        </w:rPr>
        <w:t>июля</w:t>
      </w:r>
      <w:r w:rsidRPr="008C009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29388B">
        <w:rPr>
          <w:rFonts w:ascii="Times New Roman" w:hAnsi="Times New Roman" w:cs="Times New Roman"/>
          <w:bCs/>
          <w:sz w:val="28"/>
          <w:szCs w:val="28"/>
        </w:rPr>
        <w:t>8</w:t>
      </w:r>
      <w:r w:rsidRPr="008C009C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29388B">
        <w:rPr>
          <w:rFonts w:ascii="Times New Roman" w:hAnsi="Times New Roman" w:cs="Times New Roman"/>
          <w:bCs/>
          <w:sz w:val="28"/>
          <w:szCs w:val="28"/>
        </w:rPr>
        <w:t>849</w:t>
      </w:r>
      <w:r w:rsidRPr="008C009C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</w:t>
      </w:r>
      <w:r w:rsidR="0029388B">
        <w:rPr>
          <w:rFonts w:ascii="Times New Roman" w:hAnsi="Times New Roman" w:cs="Times New Roman"/>
          <w:bCs/>
          <w:sz w:val="28"/>
          <w:szCs w:val="28"/>
        </w:rPr>
        <w:t>Положение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задания»</w:t>
      </w:r>
      <w:r w:rsidRPr="008C009C">
        <w:rPr>
          <w:rFonts w:ascii="Times New Roman" w:hAnsi="Times New Roman" w:cs="Times New Roman"/>
          <w:bCs/>
          <w:sz w:val="28"/>
          <w:szCs w:val="28"/>
        </w:rPr>
        <w:t xml:space="preserve"> на основании Устава муниципального образования город Алексин администрация муниципального образования город Алексин</w:t>
      </w:r>
      <w:r w:rsidRPr="008C009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875D8" w:rsidRDefault="006875D8" w:rsidP="0068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09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B787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C009C">
        <w:rPr>
          <w:rFonts w:ascii="Times New Roman" w:hAnsi="Times New Roman" w:cs="Times New Roman"/>
          <w:sz w:val="28"/>
          <w:szCs w:val="28"/>
        </w:rPr>
        <w:t>постановлени</w:t>
      </w:r>
      <w:r w:rsidR="003B787B">
        <w:rPr>
          <w:rFonts w:ascii="Times New Roman" w:hAnsi="Times New Roman" w:cs="Times New Roman"/>
          <w:sz w:val="28"/>
          <w:szCs w:val="28"/>
        </w:rPr>
        <w:t>ю</w:t>
      </w:r>
      <w:r w:rsidRPr="008C00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C009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Алексин от 17 августа 2015 года №1843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 Алексин и финансового обеспечения выполнения муниципального задания» следующие изменения:</w:t>
      </w:r>
    </w:p>
    <w:p w:rsidR="00703C8F" w:rsidRDefault="009F2A67" w:rsidP="00703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 Пункт 5 </w:t>
      </w:r>
      <w:r w:rsidR="00703C8F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9F2A67" w:rsidRDefault="00703C8F" w:rsidP="0068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6EA1">
        <w:rPr>
          <w:rFonts w:ascii="Times New Roman" w:hAnsi="Times New Roman" w:cs="Times New Roman"/>
          <w:sz w:val="28"/>
          <w:szCs w:val="28"/>
        </w:rPr>
        <w:t xml:space="preserve">5. Муниципальное задание формируется в процессе формирования бюджета муниципального образования город Алексин на очередной финансовый год и плановый период и утверждается не позднее 15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доведения получателю средств </w:t>
      </w:r>
      <w:r w:rsidRPr="007B6EA1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 Алексин лимитов бюджетных обязательств на финансовое обеспечение выполнения муниципального задания в отношении</w:t>
      </w:r>
      <w:proofErr w:type="gramStart"/>
      <w:r w:rsidRPr="007B6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B1E17" w:rsidRDefault="006B1E17" w:rsidP="0068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bCs/>
          <w:sz w:val="28"/>
          <w:szCs w:val="28"/>
        </w:rPr>
        <w:t>Пункт 16 изложить в новой редакции:</w:t>
      </w:r>
    </w:p>
    <w:p w:rsidR="006B1E17" w:rsidRDefault="006B1E17" w:rsidP="004D735E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B6EA1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7B6EA1">
        <w:rPr>
          <w:rFonts w:ascii="Times New Roman" w:hAnsi="Times New Roman" w:cs="Times New Roman"/>
          <w:sz w:val="28"/>
          <w:szCs w:val="28"/>
        </w:rPr>
        <w:t>При определении базового норматива затрат</w:t>
      </w:r>
      <w:r>
        <w:rPr>
          <w:rFonts w:ascii="Times New Roman" w:hAnsi="Times New Roman" w:cs="Times New Roman"/>
          <w:sz w:val="28"/>
          <w:szCs w:val="28"/>
        </w:rPr>
        <w:t xml:space="preserve"> в части затрат, указанных в пункте 17 настоящего Порядка,</w:t>
      </w:r>
      <w:r w:rsidRPr="007B6EA1">
        <w:rPr>
          <w:rFonts w:ascii="Times New Roman" w:hAnsi="Times New Roman" w:cs="Times New Roman"/>
          <w:sz w:val="28"/>
          <w:szCs w:val="28"/>
        </w:rPr>
        <w:t xml:space="preserve"> применяются нормы материальных, технических и трудовых ресурсов, используемых для оказания государственной услуги, установленные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правовыми актами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установленной сфере деятельности)</w:t>
      </w:r>
      <w:r w:rsidRPr="007B6EA1">
        <w:rPr>
          <w:rFonts w:ascii="Times New Roman" w:hAnsi="Times New Roman" w:cs="Times New Roman"/>
          <w:sz w:val="28"/>
          <w:szCs w:val="28"/>
        </w:rPr>
        <w:t>, межгосударственными, национальными (государственными) стандартами Российской Федерации</w:t>
      </w:r>
      <w:proofErr w:type="gramEnd"/>
      <w:r w:rsidRPr="007B6EA1">
        <w:rPr>
          <w:rFonts w:ascii="Times New Roman" w:hAnsi="Times New Roman" w:cs="Times New Roman"/>
          <w:sz w:val="28"/>
          <w:szCs w:val="28"/>
        </w:rPr>
        <w:t>, строительными нормами и правилами, санитарными нормами и правилами, стандартами, порядками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EA1">
        <w:rPr>
          <w:rFonts w:ascii="Times New Roman" w:hAnsi="Times New Roman" w:cs="Times New Roman"/>
          <w:sz w:val="28"/>
          <w:szCs w:val="28"/>
        </w:rPr>
        <w:t xml:space="preserve"> регламентами</w:t>
      </w:r>
      <w:r>
        <w:rPr>
          <w:rFonts w:ascii="Times New Roman" w:hAnsi="Times New Roman" w:cs="Times New Roman"/>
          <w:sz w:val="28"/>
          <w:szCs w:val="28"/>
        </w:rPr>
        <w:t xml:space="preserve"> и паспортами</w:t>
      </w:r>
      <w:r w:rsidRPr="007B6EA1">
        <w:rPr>
          <w:rFonts w:ascii="Times New Roman" w:hAnsi="Times New Roman" w:cs="Times New Roman"/>
          <w:sz w:val="28"/>
          <w:szCs w:val="28"/>
        </w:rPr>
        <w:t xml:space="preserve"> оказания государственных услуг, нормативными правовыми актами Тульской области и муниципального образования город Алексин в установленной сфере (далее  – стандарты услуги)</w:t>
      </w:r>
      <w:proofErr w:type="gramStart"/>
      <w:r w:rsidRPr="007B6E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4A5E" w:rsidRDefault="00074A5E" w:rsidP="004D735E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571AE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91C95">
        <w:rPr>
          <w:rFonts w:ascii="Times New Roman" w:hAnsi="Times New Roman" w:cs="Times New Roman"/>
          <w:bCs/>
          <w:sz w:val="28"/>
          <w:szCs w:val="28"/>
        </w:rPr>
        <w:t xml:space="preserve">подпункте «б»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D91C9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D91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="00300AE5" w:rsidRPr="007B6EA1">
        <w:rPr>
          <w:rFonts w:ascii="Times New Roman" w:hAnsi="Times New Roman" w:cs="Times New Roman"/>
          <w:sz w:val="28"/>
          <w:szCs w:val="28"/>
        </w:rPr>
        <w:t>, не отнесенного к особо ценному движимому имуществу и</w:t>
      </w:r>
      <w:r w:rsidR="00300AE5">
        <w:rPr>
          <w:rFonts w:ascii="Times New Roman" w:hAnsi="Times New Roman" w:cs="Times New Roman"/>
          <w:sz w:val="28"/>
          <w:szCs w:val="28"/>
        </w:rPr>
        <w:t>» исключить;</w:t>
      </w:r>
    </w:p>
    <w:p w:rsidR="00D91C95" w:rsidRDefault="00D91C95" w:rsidP="004D735E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71A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 подпункте «б» пункта 24 слова «</w:t>
      </w:r>
      <w:r w:rsidRPr="007B6EA1">
        <w:rPr>
          <w:rFonts w:ascii="Times New Roman" w:hAnsi="Times New Roman" w:cs="Times New Roman"/>
          <w:sz w:val="28"/>
          <w:szCs w:val="28"/>
        </w:rPr>
        <w:t>, не отнесенного к особо ценному движимому имуществу 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A658AB" w:rsidRDefault="006875D8" w:rsidP="0068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09C">
        <w:rPr>
          <w:rFonts w:ascii="Times New Roman" w:hAnsi="Times New Roman" w:cs="Times New Roman"/>
          <w:bCs/>
          <w:sz w:val="28"/>
          <w:szCs w:val="28"/>
        </w:rPr>
        <w:t>1.</w:t>
      </w:r>
      <w:r w:rsidR="00571AEC">
        <w:rPr>
          <w:rFonts w:ascii="Times New Roman" w:hAnsi="Times New Roman" w:cs="Times New Roman"/>
          <w:bCs/>
          <w:sz w:val="28"/>
          <w:szCs w:val="28"/>
        </w:rPr>
        <w:t>5</w:t>
      </w:r>
      <w:r w:rsidR="002445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58AB">
        <w:rPr>
          <w:rFonts w:ascii="Times New Roman" w:hAnsi="Times New Roman" w:cs="Times New Roman"/>
          <w:bCs/>
          <w:sz w:val="28"/>
          <w:szCs w:val="28"/>
        </w:rPr>
        <w:t>Пункт 28 дополнить абзацем 3 следующего содержания:</w:t>
      </w:r>
    </w:p>
    <w:p w:rsidR="00D91C95" w:rsidRDefault="00A658AB" w:rsidP="0068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658AB">
        <w:rPr>
          <w:rFonts w:ascii="Times New Roman" w:hAnsi="Times New Roman" w:cs="Times New Roman"/>
          <w:bCs/>
          <w:sz w:val="28"/>
          <w:szCs w:val="28"/>
        </w:rPr>
        <w:t xml:space="preserve">Значение коэффициента платной деятельности утверждается </w:t>
      </w:r>
      <w:r w:rsidR="00CE7A10" w:rsidRPr="007B6EA1">
        <w:rPr>
          <w:rFonts w:ascii="Times New Roman" w:hAnsi="Times New Roman" w:cs="Times New Roman"/>
          <w:sz w:val="28"/>
          <w:szCs w:val="28"/>
        </w:rPr>
        <w:t>органами, осуществляющими функции и полномочия учредителя</w:t>
      </w:r>
      <w:r w:rsidR="00CE7A10">
        <w:rPr>
          <w:rFonts w:ascii="Times New Roman" w:hAnsi="Times New Roman" w:cs="Times New Roman"/>
          <w:sz w:val="28"/>
          <w:szCs w:val="28"/>
        </w:rPr>
        <w:t xml:space="preserve"> </w:t>
      </w:r>
      <w:r w:rsidRPr="00CE7A10">
        <w:rPr>
          <w:rFonts w:ascii="Times New Roman" w:hAnsi="Times New Roman" w:cs="Times New Roman"/>
          <w:bCs/>
          <w:sz w:val="28"/>
          <w:szCs w:val="28"/>
        </w:rPr>
        <w:t>бюджетного или автономного учреждения муниципального образования город Алексин, либо главным распорядителем</w:t>
      </w:r>
      <w:r w:rsidRPr="00A658AB">
        <w:rPr>
          <w:rFonts w:ascii="Times New Roman" w:hAnsi="Times New Roman" w:cs="Times New Roman"/>
          <w:bCs/>
          <w:sz w:val="28"/>
          <w:szCs w:val="28"/>
        </w:rPr>
        <w:t xml:space="preserve"> средств бюджета</w:t>
      </w:r>
      <w:r w:rsidR="00CE7A1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 Алексин</w:t>
      </w:r>
      <w:r w:rsidRPr="00A658AB">
        <w:rPr>
          <w:rFonts w:ascii="Times New Roman" w:hAnsi="Times New Roman" w:cs="Times New Roman"/>
          <w:bCs/>
          <w:sz w:val="28"/>
          <w:szCs w:val="28"/>
        </w:rPr>
        <w:t>, в ведении которого находится казенное учреждение, при формировании бюджета на очередной финансовый год и плановый период и корректировке в течение очередного финансового года не подлежит</w:t>
      </w:r>
      <w:r w:rsidR="004E2FB7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6875D8" w:rsidRDefault="00C34A41" w:rsidP="0068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71AEC">
        <w:rPr>
          <w:rFonts w:ascii="Times New Roman" w:hAnsi="Times New Roman" w:cs="Times New Roman"/>
          <w:bCs/>
          <w:sz w:val="28"/>
          <w:szCs w:val="28"/>
        </w:rPr>
        <w:t>6</w:t>
      </w:r>
      <w:r w:rsidR="006875D8" w:rsidRPr="008C009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</w:t>
      </w:r>
      <w:r w:rsidR="00A658AB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</w:t>
      </w:r>
    </w:p>
    <w:p w:rsidR="00F9448A" w:rsidRPr="007B6EA1" w:rsidRDefault="00A658AB" w:rsidP="00F9448A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9448A" w:rsidRPr="007B6EA1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proofErr w:type="gramStart"/>
      <w:r w:rsidR="00F9448A" w:rsidRPr="007B6EA1">
        <w:rPr>
          <w:rFonts w:ascii="Times New Roman" w:hAnsi="Times New Roman" w:cs="Times New Roman"/>
          <w:color w:val="000000"/>
          <w:sz w:val="28"/>
          <w:szCs w:val="28"/>
        </w:rPr>
        <w:t>В случае если бюджетное или автономное учреждение осуществляет платную деятельность в рамках установленного муниципального задания, по которому в соответствии с действующим законодательством предусмотрено взимание платы, объем финансового обеспечения выполнения муниципального задания, рассчитанный на основе нормативных затрат (затрат), подлежит уменьшению на объем доходов от платной деятельности</w:t>
      </w:r>
      <w:r w:rsidR="007D6C54">
        <w:rPr>
          <w:rFonts w:ascii="Times New Roman" w:hAnsi="Times New Roman" w:cs="Times New Roman"/>
          <w:color w:val="000000"/>
          <w:sz w:val="28"/>
          <w:szCs w:val="28"/>
        </w:rPr>
        <w:t>, рассчитанный на момент формирования проекта бюджета на очередной финансовый год и плановый период,</w:t>
      </w:r>
      <w:r w:rsidR="00F9448A" w:rsidRPr="007B6EA1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</w:t>
      </w:r>
      <w:proofErr w:type="gramEnd"/>
      <w:r w:rsidR="00F9448A" w:rsidRPr="007B6EA1">
        <w:rPr>
          <w:rFonts w:ascii="Times New Roman" w:hAnsi="Times New Roman" w:cs="Times New Roman"/>
          <w:color w:val="000000"/>
          <w:sz w:val="28"/>
          <w:szCs w:val="28"/>
        </w:rPr>
        <w:t xml:space="preserve"> объема муниципальной услуги</w:t>
      </w:r>
      <w:r w:rsidR="00F9448A" w:rsidRPr="008336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448A" w:rsidRPr="007B6EA1">
        <w:rPr>
          <w:rFonts w:ascii="Times New Roman" w:hAnsi="Times New Roman" w:cs="Times New Roman"/>
          <w:color w:val="000000"/>
          <w:sz w:val="28"/>
          <w:szCs w:val="28"/>
        </w:rPr>
        <w:t xml:space="preserve"> за оказание которой предусмотрено взимание платы, и размера платы (цены, тарифа), установленного в муниципальном задании, органом, осуществляющим функции и полномочия учредителя в отношении бюджетных или автономных учреждений, с учетом положений, установленных действующим законодательством</w:t>
      </w:r>
      <w:proofErr w:type="gramStart"/>
      <w:r w:rsidR="00F9448A" w:rsidRPr="007B6E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6B2D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F9448A" w:rsidRDefault="00A658AB" w:rsidP="0068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1A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Абзацы 1-3 пункта 34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F738FB" w:rsidRPr="00507C62" w:rsidRDefault="006345DA" w:rsidP="00F738F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738FB" w:rsidRPr="00507C62">
        <w:rPr>
          <w:rFonts w:ascii="Times New Roman" w:hAnsi="Times New Roman" w:cs="Times New Roman"/>
          <w:color w:val="000000"/>
          <w:sz w:val="28"/>
          <w:szCs w:val="28"/>
        </w:rPr>
        <w:t xml:space="preserve">34. </w:t>
      </w:r>
      <w:r w:rsidR="00507C62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</w:t>
      </w:r>
      <w:r w:rsidR="00F738FB" w:rsidRPr="00507C62">
        <w:rPr>
          <w:rFonts w:ascii="Times New Roman" w:hAnsi="Times New Roman" w:cs="Times New Roman"/>
          <w:color w:val="000000"/>
          <w:sz w:val="28"/>
          <w:szCs w:val="28"/>
        </w:rPr>
        <w:t>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F738FB" w:rsidRPr="00507C62" w:rsidRDefault="00F738FB" w:rsidP="00F738FB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7C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Pr="00507C62">
        <w:rPr>
          <w:rFonts w:ascii="Times New Roman" w:hAnsi="Times New Roman" w:cs="Times New Roman"/>
          <w:color w:val="000000"/>
          <w:sz w:val="28"/>
          <w:szCs w:val="28"/>
        </w:rPr>
        <w:t>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случаях, предусмотренных действующим законодательством, а также в случае изменения динамики примерных (индикативных) значений соотношения средней заработной платы работников учреждений социальной сферы, повышение оплаты труда которых предусмотрено указами Президента Российской Федерации, и среднемесячной начисленной заработной платы наемных работников в организациях, у индивидуальных</w:t>
      </w:r>
      <w:proofErr w:type="gramEnd"/>
      <w:r w:rsidRPr="00507C62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предпринимателей и физических лиц (среднемесячного дохода от трудовой</w:t>
      </w:r>
      <w:r w:rsidRPr="00507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деятельности),</w:t>
      </w:r>
      <w:r w:rsidR="00507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случае изменения среднесписочной численности работников</w:t>
      </w:r>
      <w:r w:rsidR="00682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 в пределах утвержденной штатной численности,</w:t>
      </w:r>
      <w:r w:rsidRPr="00507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приводящих к </w:t>
      </w:r>
      <w:r w:rsidRPr="00507C62">
        <w:rPr>
          <w:rFonts w:ascii="Times New Roman" w:hAnsi="Times New Roman" w:cs="Times New Roman"/>
          <w:color w:val="000000"/>
          <w:sz w:val="28"/>
          <w:szCs w:val="28"/>
        </w:rPr>
        <w:t>изменению объема финансового обеспечения выполнения муниципального задания.</w:t>
      </w:r>
    </w:p>
    <w:p w:rsidR="00F738FB" w:rsidRDefault="00F738FB" w:rsidP="00507C62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C62">
        <w:rPr>
          <w:rFonts w:ascii="Times New Roman" w:hAnsi="Times New Roman" w:cs="Times New Roman"/>
          <w:color w:val="000000"/>
          <w:sz w:val="28"/>
          <w:szCs w:val="28"/>
        </w:rPr>
        <w:t>Изменение объема субсидии в течение срока выполнения муниципального задания осуществляется в случае изменения действующего законодательства</w:t>
      </w:r>
      <w:r w:rsidR="006345DA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законодательства </w:t>
      </w:r>
      <w:r w:rsidRPr="00507C62">
        <w:rPr>
          <w:rFonts w:ascii="Times New Roman" w:hAnsi="Times New Roman" w:cs="Times New Roman"/>
          <w:color w:val="000000"/>
          <w:sz w:val="28"/>
          <w:szCs w:val="28"/>
        </w:rPr>
        <w:t xml:space="preserve">о налогах и сборах, </w:t>
      </w:r>
      <w:r w:rsidR="006345DA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507C62">
        <w:rPr>
          <w:rFonts w:ascii="Times New Roman" w:hAnsi="Times New Roman" w:cs="Times New Roman"/>
          <w:color w:val="000000"/>
          <w:sz w:val="28"/>
          <w:szCs w:val="28"/>
        </w:rPr>
        <w:t>в случае отмены ранее установленных налоговых льгот</w:t>
      </w:r>
      <w:proofErr w:type="gramStart"/>
      <w:r w:rsidRPr="00507C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45DA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875D8" w:rsidRPr="008C009C" w:rsidRDefault="00244523" w:rsidP="0068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75D8" w:rsidRPr="008C00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5D8" w:rsidRPr="008C009C">
        <w:rPr>
          <w:rFonts w:ascii="Times New Roman" w:hAnsi="Times New Roman" w:cs="Times New Roman"/>
          <w:sz w:val="28"/>
          <w:szCs w:val="28"/>
        </w:rPr>
        <w:t xml:space="preserve">Управлению по организационной, кадровой работе и информационному обеспечению администрации муниципального образования город Алексин </w:t>
      </w:r>
      <w:proofErr w:type="gramStart"/>
      <w:r w:rsidR="006875D8" w:rsidRPr="008C009C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6875D8" w:rsidRPr="008C009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 Алексин</w:t>
      </w:r>
      <w:r w:rsidR="009E6100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6875D8" w:rsidRPr="008C009C">
        <w:rPr>
          <w:rFonts w:ascii="Times New Roman" w:hAnsi="Times New Roman" w:cs="Times New Roman"/>
          <w:sz w:val="28"/>
          <w:szCs w:val="28"/>
        </w:rPr>
        <w:t>.</w:t>
      </w:r>
    </w:p>
    <w:p w:rsidR="00F220B7" w:rsidRDefault="00F220B7" w:rsidP="00F22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75D8" w:rsidRPr="008C00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Изменения, утвержденные настоящим постановлением, применяются при формировании муниципального задания и расчете объема финансового обеспечения его выполнения начиная с муниципального задания на 2019 год и плановый период 2020 и 2021 годов</w:t>
      </w:r>
      <w:r w:rsidRPr="008C009C">
        <w:rPr>
          <w:rFonts w:ascii="Times New Roman" w:hAnsi="Times New Roman" w:cs="Times New Roman"/>
          <w:sz w:val="28"/>
          <w:szCs w:val="28"/>
        </w:rPr>
        <w:t>.</w:t>
      </w:r>
    </w:p>
    <w:p w:rsidR="00F220B7" w:rsidRDefault="0029388B" w:rsidP="0068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20B7" w:rsidRPr="00F220B7">
        <w:rPr>
          <w:rFonts w:ascii="Times New Roman" w:hAnsi="Times New Roman" w:cs="Times New Roman"/>
          <w:sz w:val="28"/>
          <w:szCs w:val="28"/>
        </w:rPr>
        <w:t xml:space="preserve"> </w:t>
      </w:r>
      <w:r w:rsidR="00F220B7" w:rsidRPr="008C009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F220B7">
        <w:rPr>
          <w:rFonts w:ascii="Times New Roman" w:hAnsi="Times New Roman" w:cs="Times New Roman"/>
          <w:sz w:val="28"/>
          <w:szCs w:val="28"/>
        </w:rPr>
        <w:t>о</w:t>
      </w:r>
      <w:r w:rsidR="00F220B7" w:rsidRPr="008C009C">
        <w:rPr>
          <w:rFonts w:ascii="Times New Roman" w:hAnsi="Times New Roman" w:cs="Times New Roman"/>
          <w:sz w:val="28"/>
          <w:szCs w:val="28"/>
        </w:rPr>
        <w:t xml:space="preserve"> </w:t>
      </w:r>
      <w:r w:rsidR="00F220B7">
        <w:rPr>
          <w:rFonts w:ascii="Times New Roman" w:hAnsi="Times New Roman" w:cs="Times New Roman"/>
          <w:sz w:val="28"/>
          <w:szCs w:val="28"/>
        </w:rPr>
        <w:t>дня</w:t>
      </w:r>
      <w:r w:rsidR="00F220B7" w:rsidRPr="008C009C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F22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5DB" w:rsidRPr="008C009C" w:rsidRDefault="00D665DB" w:rsidP="0068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08" w:type="dxa"/>
        <w:tblLook w:val="01E0"/>
      </w:tblPr>
      <w:tblGrid>
        <w:gridCol w:w="5688"/>
        <w:gridCol w:w="3960"/>
        <w:gridCol w:w="3960"/>
      </w:tblGrid>
      <w:tr w:rsidR="006875D8" w:rsidRPr="008C009C" w:rsidTr="00487579">
        <w:tc>
          <w:tcPr>
            <w:tcW w:w="5688" w:type="dxa"/>
          </w:tcPr>
          <w:p w:rsidR="009E6100" w:rsidRDefault="009E6100" w:rsidP="0048757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75D8" w:rsidRPr="008C009C" w:rsidRDefault="009E6100" w:rsidP="0048757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8C0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лава</w:t>
            </w:r>
            <w:r w:rsidR="006875D8" w:rsidRPr="008C0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администрации </w:t>
            </w:r>
          </w:p>
          <w:p w:rsidR="008C009C" w:rsidRDefault="006875D8" w:rsidP="0048757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875D8" w:rsidRPr="008C009C" w:rsidRDefault="006875D8" w:rsidP="0048757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Алексин</w:t>
            </w:r>
          </w:p>
        </w:tc>
        <w:tc>
          <w:tcPr>
            <w:tcW w:w="3960" w:type="dxa"/>
          </w:tcPr>
          <w:p w:rsidR="006875D8" w:rsidRPr="008C009C" w:rsidRDefault="006875D8" w:rsidP="0048757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6100" w:rsidRDefault="009E6100" w:rsidP="0048757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6100" w:rsidRDefault="009E6100" w:rsidP="0048757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75D8" w:rsidRPr="008C009C" w:rsidRDefault="008C009C" w:rsidP="00487579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П.Е. Федоров</w:t>
            </w:r>
            <w:r w:rsidR="006875D8" w:rsidRPr="008C0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6875D8" w:rsidRPr="008C009C" w:rsidRDefault="006875D8" w:rsidP="0048757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83E9F" w:rsidRDefault="00583E9F" w:rsidP="004E2FB7"/>
    <w:p w:rsidR="004E2FB7" w:rsidRDefault="004E2FB7" w:rsidP="004E2FB7"/>
    <w:p w:rsidR="004E2FB7" w:rsidRDefault="004E2FB7" w:rsidP="004E2FB7"/>
    <w:p w:rsidR="004E2FB7" w:rsidRDefault="004E2FB7" w:rsidP="004E2FB7"/>
    <w:p w:rsidR="004E2FB7" w:rsidRDefault="004E2FB7" w:rsidP="004E2FB7"/>
    <w:p w:rsidR="00D665DB" w:rsidRDefault="00D665DB" w:rsidP="004E2FB7"/>
    <w:p w:rsidR="00D665DB" w:rsidRDefault="00D665DB" w:rsidP="004E2FB7"/>
    <w:p w:rsidR="00D665DB" w:rsidRDefault="00D665DB" w:rsidP="004E2FB7"/>
    <w:sectPr w:rsidR="00D665DB" w:rsidSect="0058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348E"/>
    <w:multiLevelType w:val="hybridMultilevel"/>
    <w:tmpl w:val="F2D2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5D8"/>
    <w:rsid w:val="0007356A"/>
    <w:rsid w:val="00074A5E"/>
    <w:rsid w:val="000C4EAF"/>
    <w:rsid w:val="0011562E"/>
    <w:rsid w:val="00244523"/>
    <w:rsid w:val="002912A0"/>
    <w:rsid w:val="0029388B"/>
    <w:rsid w:val="002D74C7"/>
    <w:rsid w:val="00300AE5"/>
    <w:rsid w:val="0031158A"/>
    <w:rsid w:val="00313143"/>
    <w:rsid w:val="00355CFF"/>
    <w:rsid w:val="0039499B"/>
    <w:rsid w:val="003B37B4"/>
    <w:rsid w:val="003B787B"/>
    <w:rsid w:val="0047488F"/>
    <w:rsid w:val="004D735E"/>
    <w:rsid w:val="004E2FB7"/>
    <w:rsid w:val="00507C62"/>
    <w:rsid w:val="00571AEC"/>
    <w:rsid w:val="00583E9F"/>
    <w:rsid w:val="005C646A"/>
    <w:rsid w:val="005D58D1"/>
    <w:rsid w:val="005F2052"/>
    <w:rsid w:val="00601773"/>
    <w:rsid w:val="006345DA"/>
    <w:rsid w:val="00642454"/>
    <w:rsid w:val="00676B2D"/>
    <w:rsid w:val="006828FB"/>
    <w:rsid w:val="006875D8"/>
    <w:rsid w:val="00690D17"/>
    <w:rsid w:val="006B16C5"/>
    <w:rsid w:val="006B1E17"/>
    <w:rsid w:val="006C4A20"/>
    <w:rsid w:val="006D2576"/>
    <w:rsid w:val="00701017"/>
    <w:rsid w:val="00703C8F"/>
    <w:rsid w:val="00786C22"/>
    <w:rsid w:val="007C16D0"/>
    <w:rsid w:val="007C5FAB"/>
    <w:rsid w:val="007D6C54"/>
    <w:rsid w:val="007E3CE1"/>
    <w:rsid w:val="008320B4"/>
    <w:rsid w:val="00834B88"/>
    <w:rsid w:val="00887199"/>
    <w:rsid w:val="008C009C"/>
    <w:rsid w:val="009474B3"/>
    <w:rsid w:val="00981312"/>
    <w:rsid w:val="009E6100"/>
    <w:rsid w:val="009F1D06"/>
    <w:rsid w:val="009F2A67"/>
    <w:rsid w:val="00A1759C"/>
    <w:rsid w:val="00A658AB"/>
    <w:rsid w:val="00A97CE6"/>
    <w:rsid w:val="00C259B3"/>
    <w:rsid w:val="00C34A41"/>
    <w:rsid w:val="00C66C3A"/>
    <w:rsid w:val="00C71A71"/>
    <w:rsid w:val="00CE7A10"/>
    <w:rsid w:val="00CF545B"/>
    <w:rsid w:val="00D665DB"/>
    <w:rsid w:val="00D91C95"/>
    <w:rsid w:val="00DF24AC"/>
    <w:rsid w:val="00F220B7"/>
    <w:rsid w:val="00F738FB"/>
    <w:rsid w:val="00F9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D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6B16C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5D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B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B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94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9F2A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16C5"/>
    <w:rPr>
      <w:rFonts w:ascii="Arial" w:eastAsia="Times New Roman" w:hAnsi="Arial" w:cs="Arial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Антонова</dc:creator>
  <cp:lastModifiedBy>avdeeva.anastasiya</cp:lastModifiedBy>
  <cp:revision>2</cp:revision>
  <cp:lastPrinted>2018-12-03T14:33:00Z</cp:lastPrinted>
  <dcterms:created xsi:type="dcterms:W3CDTF">2022-09-05T13:02:00Z</dcterms:created>
  <dcterms:modified xsi:type="dcterms:W3CDTF">2022-09-05T13:02:00Z</dcterms:modified>
</cp:coreProperties>
</file>