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Единовременная выплата на </w:t>
      </w:r>
      <w:proofErr w:type="spellStart"/>
      <w:r>
        <w:rPr>
          <w:rFonts w:ascii="Helvetica" w:hAnsi="Helvetica" w:cs="Helvetica"/>
          <w:b/>
          <w:bCs/>
          <w:color w:val="FF0000"/>
          <w:sz w:val="22"/>
          <w:szCs w:val="22"/>
        </w:rPr>
        <w:t>догазификацию</w:t>
      </w:r>
      <w:proofErr w:type="spellEnd"/>
      <w:r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домовладения в размере понесённых расходов, в том числе на приобретение газового оборудования, но не более 70000 рублей.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Постановление Правительства Тульской области от 29.03.2022 № 199 «Об установлении дополнительной меры социальной поддержки отдельным категориям граждан в виде единовременной выплаты на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догазификацию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домовладений» (в ред. постановления Правительства Тульской области от 01.07.2022 № 422 «</w:t>
      </w:r>
      <w:hyperlink r:id="rId4" w:history="1">
        <w:r>
          <w:rPr>
            <w:rStyle w:val="a4"/>
            <w:rFonts w:ascii="Helvetica" w:hAnsi="Helvetica" w:cs="Helvetica"/>
            <w:color w:val="428BCA"/>
            <w:sz w:val="22"/>
            <w:szCs w:val="22"/>
            <w:u w:val="none"/>
          </w:rPr>
          <w:t>О внесении изменений в постановление правительства Тульской области от 29.03.2022 N 199»</w:t>
        </w:r>
      </w:hyperlink>
      <w:r>
        <w:rPr>
          <w:rFonts w:ascii="Helvetica" w:hAnsi="Helvetica" w:cs="Helvetica"/>
          <w:color w:val="333333"/>
          <w:sz w:val="22"/>
          <w:szCs w:val="22"/>
        </w:rPr>
        <w:t>)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(услуга предоставляется в филиалах ГУ ТО УСЗН Тульской области - отделах социальной защиты населения по месту проживания граждан)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FF0000"/>
          <w:sz w:val="22"/>
          <w:szCs w:val="22"/>
        </w:rPr>
        <w:t>Что такое «</w:t>
      </w:r>
      <w:proofErr w:type="spellStart"/>
      <w:r>
        <w:rPr>
          <w:rFonts w:ascii="Helvetica" w:hAnsi="Helvetica" w:cs="Helvetica"/>
          <w:color w:val="FF0000"/>
          <w:sz w:val="22"/>
          <w:szCs w:val="22"/>
        </w:rPr>
        <w:t>догазификация</w:t>
      </w:r>
      <w:proofErr w:type="spellEnd"/>
      <w:r>
        <w:rPr>
          <w:rFonts w:ascii="Helvetica" w:hAnsi="Helvetica" w:cs="Helvetica"/>
          <w:color w:val="FF0000"/>
          <w:sz w:val="22"/>
          <w:szCs w:val="22"/>
        </w:rPr>
        <w:t>»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proofErr w:type="gramStart"/>
      <w:r>
        <w:rPr>
          <w:rFonts w:ascii="Helvetica" w:hAnsi="Helvetica" w:cs="Helvetica"/>
          <w:color w:val="333333"/>
          <w:sz w:val="22"/>
          <w:szCs w:val="22"/>
        </w:rPr>
        <w:t>Под понятием «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догазификация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» понимается —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учётом выполнения мероприятий в рамках такого подключения (технологического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присоединения) до границ земельных участков, принадлежащих указанным физическим лицам на праве собственности или на ином предусмотренном законом праве, без взимания платы с физических лиц при условии, что в населённом пункте, в котором располагаются домовладения физических лиц, проложены газораспределительные сети и осуществляется транспортировка газа (п. 2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утверждённых постановлением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Правительства РФ от 13.09.2021 №1547).</w:t>
      </w:r>
      <w:proofErr w:type="gramEnd"/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Кто имеет право на единовременную выплату на </w:t>
      </w:r>
      <w:proofErr w:type="spellStart"/>
      <w:r>
        <w:rPr>
          <w:rFonts w:ascii="Helvetica" w:hAnsi="Helvetica" w:cs="Helvetica"/>
          <w:b/>
          <w:bCs/>
          <w:color w:val="FF0000"/>
          <w:sz w:val="22"/>
          <w:szCs w:val="22"/>
        </w:rPr>
        <w:t>догазификацию</w:t>
      </w:r>
      <w:proofErr w:type="spellEnd"/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инвалиды и участники Великой Отечественной войны;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вдовы инвалидов и участников Великой Отечественной войны;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</w:t>
      </w:r>
      <w:r>
        <w:rPr>
          <w:rFonts w:ascii="Helvetica" w:hAnsi="Helvetica" w:cs="Helvetica"/>
          <w:color w:val="333333"/>
          <w:sz w:val="22"/>
          <w:szCs w:val="22"/>
        </w:rPr>
        <w:lastRenderedPageBreak/>
        <w:t>июня 1941 года по 3 сентября 1945 года не менее шести месяцев, военнослужащим, награждённым орденами или медалями СССР за службу в указанный период;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лица, награждённые знаком «Жителю блокадного Ленинграда»;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торой мировой войны;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награждённых орденами или медалями СССР за самоотверженный труд в период Великой Отечественной войны;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инвалиды 1 и 2 групп;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семьи с детьми-инвалидами;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многодетные семьи со среднедушевым доходом семьи не выше 1,5 </w:t>
      </w:r>
      <w:hyperlink r:id="rId5" w:history="1">
        <w:r>
          <w:rPr>
            <w:rStyle w:val="a4"/>
            <w:rFonts w:ascii="Helvetica" w:hAnsi="Helvetica" w:cs="Helvetica"/>
            <w:color w:val="428BCA"/>
            <w:sz w:val="22"/>
            <w:szCs w:val="22"/>
            <w:u w:val="none"/>
          </w:rPr>
          <w:t>величины прожиточного минимума</w:t>
        </w:r>
      </w:hyperlink>
      <w:r>
        <w:rPr>
          <w:rFonts w:ascii="Helvetica" w:hAnsi="Helvetica" w:cs="Helvetica"/>
          <w:color w:val="333333"/>
          <w:sz w:val="22"/>
          <w:szCs w:val="22"/>
        </w:rPr>
        <w:t> по основным социально-демографическим группам на момент обращения;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одиноко проживающие и проживающие в составе семьи пенсионеры старше 70-ти лет со среднедушевым доходом не выше 1,5 </w:t>
      </w:r>
      <w:hyperlink r:id="rId6" w:history="1">
        <w:r>
          <w:rPr>
            <w:rStyle w:val="a4"/>
            <w:rFonts w:ascii="Helvetica" w:hAnsi="Helvetica" w:cs="Helvetica"/>
            <w:color w:val="428BCA"/>
            <w:sz w:val="22"/>
            <w:szCs w:val="22"/>
            <w:u w:val="none"/>
          </w:rPr>
          <w:t>величины</w:t>
        </w:r>
      </w:hyperlink>
      <w:hyperlink r:id="rId7" w:history="1">
        <w:r>
          <w:rPr>
            <w:rStyle w:val="a4"/>
            <w:rFonts w:ascii="Helvetica" w:hAnsi="Helvetica" w:cs="Helvetica"/>
            <w:color w:val="428BCA"/>
            <w:sz w:val="22"/>
            <w:szCs w:val="22"/>
            <w:u w:val="none"/>
          </w:rPr>
          <w:t> </w:t>
        </w:r>
      </w:hyperlink>
      <w:hyperlink r:id="rId8" w:history="1">
        <w:r>
          <w:rPr>
            <w:rStyle w:val="a4"/>
            <w:rFonts w:ascii="Helvetica" w:hAnsi="Helvetica" w:cs="Helvetica"/>
            <w:color w:val="428BCA"/>
            <w:sz w:val="22"/>
            <w:szCs w:val="22"/>
            <w:u w:val="none"/>
          </w:rPr>
          <w:t>прожиточного минимума</w:t>
        </w:r>
      </w:hyperlink>
      <w:r>
        <w:rPr>
          <w:rFonts w:ascii="Helvetica" w:hAnsi="Helvetica" w:cs="Helvetica"/>
          <w:color w:val="333333"/>
          <w:sz w:val="22"/>
          <w:szCs w:val="22"/>
        </w:rPr>
        <w:t> по основным социально-демографическим группам на момент обращения;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proofErr w:type="gramStart"/>
      <w:r>
        <w:rPr>
          <w:rFonts w:ascii="Helvetica" w:hAnsi="Helvetica" w:cs="Helvetica"/>
          <w:color w:val="333333"/>
          <w:sz w:val="22"/>
          <w:szCs w:val="22"/>
        </w:rPr>
        <w:t>- военнослужащие, лица, проходящие службу в войсках национальной гвардии Российской Федерации и имеющие специальное звание полиции, принимавшие участие в специальной военной операции, проводимой на территориях Украины, Донецкой Народной Республики, Луганской Народной Республики, получившие увечье (ранение, травму, контузию) в ходе проведения специальной военной операции, и члены семей военнослужащих, погибших (умерших, пропавших без вести) при выполнении задач в ходе специальной военной операции;</w:t>
      </w:r>
      <w:proofErr w:type="gramEnd"/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proofErr w:type="gramStart"/>
      <w:r>
        <w:rPr>
          <w:rFonts w:ascii="Helvetica" w:hAnsi="Helvetica" w:cs="Helvetica"/>
          <w:color w:val="333333"/>
          <w:sz w:val="22"/>
          <w:szCs w:val="22"/>
        </w:rPr>
        <w:t>- направленные (командированные) для выполнения задач на территориях Донецкой Народной Республики, Луганской Народной Республики лица, замещающие государственные должности, муниципальные должности, государственные гражданские служащие, муниципальные служащие, работники, замещающие в органах публичной власти должности, не отнесённые к должностям государственной или муниципальной службы, работникам организаций и учреждений, подведомственных органам публичной власти, а также работники иных организаций, принимающие (принимавшие) непосредственное участие в выполнении работ (оказании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 xml:space="preserve">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</w:t>
      </w:r>
      <w:r>
        <w:rPr>
          <w:rFonts w:ascii="Helvetica" w:hAnsi="Helvetica" w:cs="Helvetica"/>
          <w:color w:val="333333"/>
          <w:sz w:val="22"/>
          <w:szCs w:val="22"/>
        </w:rPr>
        <w:lastRenderedPageBreak/>
        <w:t>получившие увечье (ранение, травму, контузию) при выполнении указанных задач, работ (оказании услуг), и члены семей лиц, служащих, работников, в случае их гибели (смерти);</w:t>
      </w:r>
      <w:proofErr w:type="gramEnd"/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proofErr w:type="gramStart"/>
      <w:r>
        <w:rPr>
          <w:rFonts w:ascii="Helvetica" w:hAnsi="Helvetica" w:cs="Helvetica"/>
          <w:color w:val="333333"/>
          <w:sz w:val="22"/>
          <w:szCs w:val="22"/>
        </w:rPr>
        <w:t>- волонтёры, получившие увечье (ранение, травму, контузию) при осуществлении своей деятельности на территориях Донецкой Народной Республики, Луганской Народной Республики и Украины в период проведения специальной военной операции, и члены семей волонтёров, в случае их гибели (смерти).</w:t>
      </w:r>
      <w:proofErr w:type="gramEnd"/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Условия предоставления единовременной выплаты на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догазификацию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>: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1) домовладение принадлежит заявителям на праве собственности либо они имеют долю в праве собственности и (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 xml:space="preserve">или) 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они зарегистрированы в данном домовладении по месту жительства;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2) расходы на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догазификацию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понесены не ранее 21 апреля 2021 года.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Документы, которые необходимо предоставить: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а) документ, подтверждающий льготный статус гражданина;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б) документы, подтверждающие приобретение газового оборудования (товарные чеки, кассовые фискальные чеки, квитанции);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в) договор о подключении (технологическом присоединении) газоиспользующего оборудования к сети газораспределения, заключенный между гражданином, исполнителем и единым оператором газификации или региональным оператором газификации;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г) акт о подключении (технологическом присоединении) газоиспользующего оборудования к сети газораспределения.</w:t>
      </w:r>
    </w:p>
    <w:p w:rsidR="00787629" w:rsidRDefault="00787629" w:rsidP="00787629">
      <w:pPr>
        <w:pStyle w:val="a3"/>
        <w:shd w:val="clear" w:color="auto" w:fill="FFFFFF"/>
        <w:spacing w:before="0" w:beforeAutospacing="0" w:after="157" w:afterAutospacing="0" w:line="376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При обращении заявители предъявляют паспорт или иной документ, удостоверяющий личность.</w:t>
      </w:r>
    </w:p>
    <w:p w:rsidR="0015085F" w:rsidRDefault="0015085F"/>
    <w:sectPr w:rsidR="0015085F" w:rsidSect="0015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7629"/>
    <w:rsid w:val="0015085F"/>
    <w:rsid w:val="0078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0310029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30310029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0310029/0" TargetMode="External"/><Relationship Id="rId5" Type="http://schemas.openxmlformats.org/officeDocument/2006/relationships/hyperlink" Target="http://internet.garant.ru/document/redirect/30310029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404924117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zaytsev.aleksandr</dc:creator>
  <cp:lastModifiedBy>zaytsev.aleksandr</cp:lastModifiedBy>
  <cp:revision>1</cp:revision>
  <dcterms:created xsi:type="dcterms:W3CDTF">2022-09-28T09:38:00Z</dcterms:created>
  <dcterms:modified xsi:type="dcterms:W3CDTF">2022-09-28T09:39:00Z</dcterms:modified>
</cp:coreProperties>
</file>