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ind/>
        <w:jc w:val="center"/>
        <w:rPr>
          <w:b w:val="1"/>
          <w:color w:val="000000"/>
          <w:sz w:val="26"/>
        </w:rPr>
      </w:pPr>
      <w:r>
        <w:rPr>
          <w:b w:val="1"/>
          <w:color w:val="000000"/>
          <w:sz w:val="26"/>
        </w:rPr>
        <w:t xml:space="preserve">Инвестиции </w:t>
      </w:r>
      <w:r>
        <w:rPr>
          <w:b w:val="1"/>
          <w:sz w:val="26"/>
        </w:rPr>
        <w:t>в основной капитал за 2025 год</w:t>
      </w:r>
      <w:r>
        <w:rPr>
          <w:b w:val="1"/>
          <w:sz w:val="26"/>
        </w:rPr>
        <w:t xml:space="preserve"> </w:t>
      </w:r>
    </w:p>
    <w:p w14:paraId="02000000">
      <w:pPr>
        <w:widowControl w:val="1"/>
        <w:ind/>
        <w:jc w:val="center"/>
        <w:rPr>
          <w:b w:val="1"/>
          <w:color w:val="000000"/>
          <w:sz w:val="12"/>
        </w:rPr>
      </w:pPr>
    </w:p>
    <w:p w14:paraId="03000000">
      <w:pPr>
        <w:widowControl w:val="1"/>
        <w:ind w:firstLine="709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Объем инвестиций в основной капитал за счет всех источников финансиро</w:t>
      </w:r>
      <w:r>
        <w:rPr>
          <w:rFonts w:ascii="Times New Roman" w:hAnsi="Times New Roman"/>
          <w:color w:val="000000"/>
          <w:sz w:val="26"/>
        </w:rPr>
        <w:t>вания по крупным и средним организациям составил 22</w:t>
      </w:r>
      <w:r>
        <w:rPr>
          <w:rFonts w:ascii="Times New Roman" w:hAnsi="Times New Roman"/>
          <w:color w:val="000000"/>
          <w:spacing w:val="0"/>
          <w:sz w:val="26"/>
        </w:rPr>
        <w:t> 898 481</w:t>
      </w:r>
      <w:r>
        <w:rPr>
          <w:rFonts w:ascii="Times New Roman" w:hAnsi="Times New Roman"/>
          <w:color w:val="000000"/>
          <w:sz w:val="26"/>
        </w:rPr>
        <w:t xml:space="preserve"> тыс. рублей, что 2,49 раз больше уровня 2024 года.</w:t>
      </w:r>
    </w:p>
    <w:p w14:paraId="04000000">
      <w:pPr>
        <w:widowControl w:val="1"/>
        <w:ind w:firstLine="709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Структура инвестиций в основной капитал по источникам финансирования: </w:t>
      </w:r>
    </w:p>
    <w:p w14:paraId="05000000">
      <w:pPr>
        <w:widowControl w:val="1"/>
        <w:ind w:firstLine="709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собственные средства – 4</w:t>
      </w:r>
      <w:r>
        <w:rPr>
          <w:rFonts w:ascii="Times New Roman" w:hAnsi="Times New Roman"/>
          <w:color w:val="000000"/>
          <w:spacing w:val="0"/>
          <w:sz w:val="26"/>
        </w:rPr>
        <w:t> 233 740</w:t>
      </w:r>
      <w:r>
        <w:rPr>
          <w:rFonts w:ascii="Times New Roman" w:hAnsi="Times New Roman"/>
          <w:color w:val="000000"/>
          <w:sz w:val="26"/>
        </w:rPr>
        <w:t xml:space="preserve"> тыс. рублей (18,5% от общего объема инвестиций), </w:t>
      </w:r>
    </w:p>
    <w:p w14:paraId="06000000">
      <w:pPr>
        <w:widowControl w:val="1"/>
        <w:ind w:firstLine="709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привлеченные средства – 18</w:t>
      </w:r>
      <w:r>
        <w:rPr>
          <w:rFonts w:ascii="Times New Roman" w:hAnsi="Times New Roman"/>
          <w:color w:val="000000"/>
          <w:spacing w:val="0"/>
          <w:sz w:val="26"/>
        </w:rPr>
        <w:t xml:space="preserve"> 664 741 </w:t>
      </w:r>
      <w:r>
        <w:rPr>
          <w:rFonts w:ascii="Times New Roman" w:hAnsi="Times New Roman"/>
          <w:color w:val="000000"/>
          <w:sz w:val="26"/>
        </w:rPr>
        <w:t xml:space="preserve">тыс. рублей (81,5% от общего объема инвестиций). </w:t>
      </w:r>
    </w:p>
    <w:p w14:paraId="07000000">
      <w:pPr>
        <w:widowControl w:val="1"/>
        <w:ind w:firstLine="708" w:left="0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Из общего объема инвестиций на здания (кроме жилых) и сооружения направлено 11</w:t>
      </w:r>
      <w:r>
        <w:rPr>
          <w:rFonts w:ascii="Times New Roman" w:hAnsi="Times New Roman"/>
          <w:color w:val="000000"/>
          <w:spacing w:val="0"/>
          <w:sz w:val="26"/>
        </w:rPr>
        <w:t> 112 655</w:t>
      </w:r>
      <w:r>
        <w:rPr>
          <w:rFonts w:ascii="Times New Roman" w:hAnsi="Times New Roman"/>
          <w:color w:val="000000"/>
          <w:sz w:val="26"/>
        </w:rPr>
        <w:t xml:space="preserve"> тыс. рублей (или 48,5% от общего объема инвестиций), на машины, оборудование и транспортные средства – 8</w:t>
      </w:r>
      <w:r>
        <w:rPr>
          <w:rFonts w:ascii="Times New Roman" w:hAnsi="Times New Roman"/>
          <w:color w:val="000000"/>
          <w:spacing w:val="0"/>
          <w:sz w:val="26"/>
        </w:rPr>
        <w:t> 153 966</w:t>
      </w:r>
      <w:r>
        <w:rPr>
          <w:rFonts w:ascii="Times New Roman" w:hAnsi="Times New Roman"/>
          <w:color w:val="000000"/>
          <w:sz w:val="26"/>
        </w:rPr>
        <w:t xml:space="preserve"> тыс. рублей (или 35,6% от общего</w:t>
      </w:r>
      <w:r>
        <w:rPr>
          <w:rFonts w:ascii="Times New Roman" w:hAnsi="Times New Roman"/>
          <w:color w:val="000000"/>
          <w:sz w:val="26"/>
        </w:rPr>
        <w:t xml:space="preserve"> объема инвестиций).</w:t>
      </w:r>
    </w:p>
    <w:p w14:paraId="08000000">
      <w:pPr>
        <w:widowControl w:val="1"/>
        <w:ind w:firstLine="709"/>
        <w:jc w:val="both"/>
        <w:rPr>
          <w:color w:val="000000"/>
          <w:sz w:val="26"/>
        </w:rPr>
      </w:pPr>
      <w:r>
        <w:rPr>
          <w:color w:val="000000"/>
          <w:sz w:val="26"/>
        </w:rPr>
        <w:t>Объем инвестиций в основной капитал (за исключением бюджетных средств) в расчете на одного жителя в 2025 году составил 211201,25</w:t>
      </w:r>
      <w:r>
        <w:rPr>
          <w:color w:val="000000"/>
          <w:sz w:val="26"/>
        </w:rPr>
        <w:t xml:space="preserve"> руб.</w:t>
      </w:r>
    </w:p>
    <w:p w14:paraId="09000000">
      <w:pPr>
        <w:widowControl w:val="1"/>
        <w:ind w:firstLine="708"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 xml:space="preserve">Удельный вес бюджетных ассигнований в общем объеме инвестиций в основной капитал – 36,95%. </w:t>
      </w:r>
    </w:p>
    <w:p w14:paraId="0A000000">
      <w:pPr>
        <w:widowControl w:val="1"/>
        <w:ind w:firstLine="708"/>
        <w:jc w:val="both"/>
        <w:rPr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Всего в 2025 году на территории муниципального образования город Алексин реализовывались 16 инвестиционных проектов общей проектной стоимостью                      43,92 млрд рублей.</w:t>
      </w:r>
    </w:p>
    <w:p w14:paraId="0B000000">
      <w:pPr>
        <w:widowControl w:val="1"/>
        <w:ind w:firstLine="720" w:left="0"/>
        <w:jc w:val="both"/>
        <w:rPr>
          <w:color w:val="000000"/>
          <w:sz w:val="26"/>
        </w:rPr>
      </w:pPr>
      <w:r>
        <w:rPr>
          <w:color w:val="000000"/>
          <w:sz w:val="26"/>
        </w:rPr>
        <w:t>Постановлением администрации муниципального образования город Алексин от 04.06.2019 №1064 утвержден Порядок представления и рассмотрения заявки для заключения соглашения об осуществлении деятельности на территории опережающего социально-экономическо</w:t>
      </w:r>
      <w:r>
        <w:rPr>
          <w:color w:val="000000"/>
          <w:sz w:val="26"/>
        </w:rPr>
        <w:t>го развития «Алексин».</w:t>
      </w:r>
    </w:p>
    <w:p w14:paraId="0C000000">
      <w:pPr>
        <w:widowControl w:val="1"/>
        <w:tabs>
          <w:tab w:leader="none" w:pos="993" w:val="left"/>
        </w:tabs>
        <w:ind w:firstLine="709" w:left="0"/>
        <w:jc w:val="both"/>
        <w:rPr>
          <w:color w:val="000000"/>
          <w:sz w:val="25"/>
        </w:rPr>
      </w:pPr>
      <w:r>
        <w:rPr>
          <w:color w:val="000000"/>
          <w:sz w:val="25"/>
        </w:rPr>
        <w:t xml:space="preserve">По состоянию на 1 января 2026 года 7 инвесторов имеют статус резидентов ТОР: </w:t>
      </w:r>
    </w:p>
    <w:p w14:paraId="0D000000">
      <w:pPr>
        <w:widowControl w:val="1"/>
        <w:tabs>
          <w:tab w:leader="none" w:pos="851" w:val="left"/>
          <w:tab w:leader="none" w:pos="993" w:val="left"/>
        </w:tabs>
        <w:ind/>
        <w:jc w:val="both"/>
        <w:rPr>
          <w:color w:val="000000"/>
          <w:sz w:val="25"/>
        </w:rPr>
      </w:pPr>
      <w:r>
        <w:rPr>
          <w:b w:val="1"/>
          <w:color w:val="000000"/>
          <w:sz w:val="25"/>
        </w:rPr>
        <w:tab/>
      </w:r>
      <w:r>
        <w:rPr>
          <w:color w:val="000000"/>
          <w:sz w:val="25"/>
          <w:u w:val="single"/>
        </w:rPr>
        <w:t xml:space="preserve">ООО «Инновационное предприятие </w:t>
      </w:r>
      <w:r>
        <w:rPr>
          <w:color w:val="000000"/>
          <w:sz w:val="25"/>
          <w:u w:val="single"/>
        </w:rPr>
        <w:t>Нова</w:t>
      </w:r>
      <w:r>
        <w:rPr>
          <w:color w:val="000000"/>
          <w:sz w:val="25"/>
          <w:u w:val="single"/>
        </w:rPr>
        <w:t>»</w:t>
      </w:r>
      <w:r>
        <w:rPr>
          <w:color w:val="000000"/>
          <w:sz w:val="25"/>
        </w:rPr>
        <w:t xml:space="preserve"> с инвестиционным проектом «Производство товаров для детей» (объем инвестиций по проекту 267,43 млн рублей, количество н</w:t>
      </w:r>
      <w:r>
        <w:rPr>
          <w:color w:val="000000"/>
          <w:sz w:val="25"/>
        </w:rPr>
        <w:t>овых рабочих мест – 99 ед.),</w:t>
      </w:r>
    </w:p>
    <w:p w14:paraId="0E000000">
      <w:pPr>
        <w:widowControl w:val="1"/>
        <w:tabs>
          <w:tab w:leader="none" w:pos="851" w:val="left"/>
          <w:tab w:leader="none" w:pos="993" w:val="left"/>
        </w:tabs>
        <w:ind/>
        <w:jc w:val="both"/>
        <w:rPr>
          <w:color w:val="000000"/>
          <w:sz w:val="25"/>
        </w:rPr>
      </w:pPr>
      <w:r>
        <w:rPr>
          <w:b w:val="1"/>
          <w:color w:val="000000"/>
          <w:sz w:val="25"/>
        </w:rPr>
        <w:tab/>
      </w:r>
      <w:r>
        <w:rPr>
          <w:color w:val="000000"/>
          <w:sz w:val="25"/>
          <w:u w:val="single"/>
        </w:rPr>
        <w:t>ООО «</w:t>
      </w:r>
      <w:r>
        <w:rPr>
          <w:color w:val="000000"/>
          <w:sz w:val="25"/>
          <w:u w:val="single"/>
        </w:rPr>
        <w:t>ФракДжет-Тулз</w:t>
      </w:r>
      <w:r>
        <w:rPr>
          <w:color w:val="000000"/>
          <w:sz w:val="25"/>
          <w:u w:val="single"/>
        </w:rPr>
        <w:t>»</w:t>
      </w:r>
      <w:r>
        <w:rPr>
          <w:color w:val="000000"/>
          <w:sz w:val="25"/>
          <w:u w:val="none"/>
        </w:rPr>
        <w:t xml:space="preserve"> </w:t>
      </w:r>
      <w:r>
        <w:rPr>
          <w:color w:val="000000"/>
          <w:sz w:val="25"/>
        </w:rPr>
        <w:t>с</w:t>
      </w:r>
      <w:r>
        <w:rPr>
          <w:color w:val="000000"/>
          <w:sz w:val="25"/>
        </w:rPr>
        <w:t xml:space="preserve"> инвестиционным проектом «Создание производства оборудования для закачивания скважин» (объем инвестиций по проекту                          367,6 млн рублей, количество новых рабочих мест – 126 ед.),</w:t>
      </w:r>
    </w:p>
    <w:p w14:paraId="0F000000">
      <w:pPr>
        <w:widowControl w:val="1"/>
        <w:tabs>
          <w:tab w:leader="none" w:pos="851" w:val="left"/>
          <w:tab w:leader="none" w:pos="993" w:val="left"/>
        </w:tabs>
        <w:ind/>
        <w:jc w:val="both"/>
        <w:rPr>
          <w:color w:val="000000"/>
          <w:sz w:val="25"/>
        </w:rPr>
      </w:pPr>
      <w:r>
        <w:rPr>
          <w:b w:val="1"/>
          <w:color w:val="000000"/>
          <w:sz w:val="25"/>
        </w:rPr>
        <w:tab/>
      </w:r>
      <w:r>
        <w:rPr>
          <w:color w:val="000000"/>
          <w:sz w:val="25"/>
          <w:u w:val="single"/>
        </w:rPr>
        <w:t xml:space="preserve">ООО </w:t>
      </w:r>
      <w:r>
        <w:rPr>
          <w:color w:val="000000"/>
          <w:sz w:val="25"/>
          <w:u w:val="single"/>
        </w:rPr>
        <w:t>«ВБ-Алексин</w:t>
      </w:r>
      <w:r>
        <w:rPr>
          <w:color w:val="000000"/>
          <w:sz w:val="25"/>
          <w:u w:val="single"/>
        </w:rPr>
        <w:t>»</w:t>
      </w:r>
      <w:r>
        <w:rPr>
          <w:color w:val="000000"/>
          <w:sz w:val="25"/>
          <w:u w:val="none"/>
        </w:rPr>
        <w:t xml:space="preserve"> </w:t>
      </w:r>
      <w:r>
        <w:rPr>
          <w:color w:val="000000"/>
          <w:sz w:val="25"/>
        </w:rPr>
        <w:t>с</w:t>
      </w:r>
      <w:r>
        <w:rPr>
          <w:color w:val="000000"/>
          <w:sz w:val="25"/>
        </w:rPr>
        <w:t xml:space="preserve"> инвестиционным проектом «Строительство складского комплекса ООО «ВБ Алексин» на территории ТОР «Алексин» Тульская область (объем инвестиций по проекту 20,0 млрд рублей, количество новых рабочих мест – 15000 ед.),</w:t>
      </w:r>
    </w:p>
    <w:p w14:paraId="10000000">
      <w:pPr>
        <w:widowControl w:val="1"/>
        <w:tabs>
          <w:tab w:leader="none" w:pos="851" w:val="left"/>
          <w:tab w:leader="none" w:pos="993" w:val="left"/>
        </w:tabs>
        <w:ind/>
        <w:jc w:val="both"/>
        <w:rPr>
          <w:color w:val="000000"/>
          <w:sz w:val="25"/>
        </w:rPr>
      </w:pPr>
      <w:r>
        <w:rPr>
          <w:b w:val="1"/>
          <w:color w:val="000000"/>
          <w:sz w:val="25"/>
        </w:rPr>
        <w:tab/>
      </w:r>
      <w:r>
        <w:rPr>
          <w:color w:val="000000"/>
          <w:sz w:val="25"/>
          <w:u w:val="single"/>
        </w:rPr>
        <w:t>ООО «Центр событийного тури</w:t>
      </w:r>
      <w:r>
        <w:rPr>
          <w:color w:val="000000"/>
          <w:sz w:val="25"/>
          <w:u w:val="single"/>
        </w:rPr>
        <w:t>зма</w:t>
      </w:r>
      <w:r>
        <w:rPr>
          <w:color w:val="000000"/>
          <w:sz w:val="25"/>
          <w:u w:val="single"/>
        </w:rPr>
        <w:t>»</w:t>
      </w:r>
      <w:r>
        <w:rPr>
          <w:color w:val="000000"/>
          <w:sz w:val="25"/>
          <w:u w:val="none"/>
        </w:rPr>
        <w:t xml:space="preserve"> </w:t>
      </w:r>
      <w:r>
        <w:rPr>
          <w:color w:val="000000"/>
          <w:sz w:val="25"/>
        </w:rPr>
        <w:t>с</w:t>
      </w:r>
      <w:r>
        <w:rPr>
          <w:color w:val="000000"/>
          <w:sz w:val="25"/>
        </w:rPr>
        <w:t xml:space="preserve"> инвестиционным проектом «Создание фестивального парка семейного отдыха «</w:t>
      </w:r>
      <w:r>
        <w:rPr>
          <w:color w:val="000000"/>
          <w:sz w:val="25"/>
        </w:rPr>
        <w:t>WildMintCamp</w:t>
      </w:r>
      <w:r>
        <w:rPr>
          <w:color w:val="000000"/>
          <w:sz w:val="25"/>
        </w:rPr>
        <w:t xml:space="preserve">» (объем инвестиций по проекту 312,0 </w:t>
      </w:r>
      <w:r>
        <w:rPr>
          <w:color w:val="000000"/>
          <w:sz w:val="25"/>
        </w:rPr>
        <w:t>млн</w:t>
      </w:r>
      <w:r>
        <w:rPr>
          <w:color w:val="000000"/>
          <w:sz w:val="25"/>
        </w:rPr>
        <w:t xml:space="preserve"> рублей, количество новых рабочих мест – 30 ед.),</w:t>
      </w:r>
    </w:p>
    <w:p w14:paraId="11000000">
      <w:pPr>
        <w:widowControl w:val="1"/>
        <w:tabs>
          <w:tab w:leader="none" w:pos="851" w:val="left"/>
          <w:tab w:leader="none" w:pos="993" w:val="left"/>
        </w:tabs>
        <w:ind/>
        <w:jc w:val="both"/>
        <w:rPr>
          <w:color w:val="000000"/>
          <w:sz w:val="25"/>
        </w:rPr>
      </w:pPr>
      <w:r>
        <w:rPr>
          <w:color w:val="000000"/>
          <w:sz w:val="25"/>
        </w:rPr>
        <w:tab/>
      </w:r>
      <w:r>
        <w:rPr>
          <w:color w:val="000000"/>
          <w:sz w:val="25"/>
          <w:u w:val="single"/>
        </w:rPr>
        <w:t>ООО «Управление недвижимостью»</w:t>
      </w:r>
      <w:r>
        <w:rPr>
          <w:color w:val="000000"/>
          <w:sz w:val="25"/>
        </w:rPr>
        <w:t xml:space="preserve"> с инвестиционным проектом «Строительство дом</w:t>
      </w:r>
      <w:r>
        <w:rPr>
          <w:color w:val="000000"/>
          <w:sz w:val="25"/>
        </w:rPr>
        <w:t xml:space="preserve">ов круглогодичного проживания в туристической базе ЛОП «Шахтер» (объем инвестиций по проекту 30,0 </w:t>
      </w:r>
      <w:r>
        <w:rPr>
          <w:color w:val="000000"/>
          <w:sz w:val="25"/>
        </w:rPr>
        <w:t>млн</w:t>
      </w:r>
      <w:r>
        <w:rPr>
          <w:color w:val="000000"/>
          <w:sz w:val="25"/>
        </w:rPr>
        <w:t xml:space="preserve"> рублей, количество новых рабочих мест – 35 ед.),</w:t>
      </w:r>
    </w:p>
    <w:p w14:paraId="12000000">
      <w:pPr>
        <w:widowControl w:val="1"/>
        <w:ind w:firstLine="709" w:left="0"/>
        <w:jc w:val="both"/>
        <w:rPr>
          <w:rFonts w:ascii="PT Astra Serif" w:hAnsi="PT Astra Serif"/>
          <w:color w:val="000000"/>
          <w:sz w:val="26"/>
        </w:rPr>
      </w:pPr>
      <w:r>
        <w:rPr>
          <w:color w:val="000000"/>
          <w:sz w:val="26"/>
          <w:u w:val="single"/>
        </w:rPr>
        <w:t>ООО «ИНЖЕНЕРНАЯ  ЭВОЛЮЦИЯ»</w:t>
      </w:r>
      <w:r>
        <w:rPr>
          <w:color w:val="000000"/>
          <w:sz w:val="26"/>
        </w:rPr>
        <w:t xml:space="preserve"> с инвестиционным проектом «Организация  производства промышленного холодильног</w:t>
      </w:r>
      <w:r>
        <w:rPr>
          <w:color w:val="000000"/>
          <w:sz w:val="26"/>
        </w:rPr>
        <w:t xml:space="preserve">о и вентиляционного оборудования, систем автоматизации и разработка ПО и их комплектующих  на территории муниципального образования город Алексин» (объем инвестиций по проекту 45,0 </w:t>
      </w:r>
      <w:r>
        <w:rPr>
          <w:color w:val="000000"/>
          <w:sz w:val="26"/>
        </w:rPr>
        <w:t>млн</w:t>
      </w:r>
      <w:r>
        <w:rPr>
          <w:color w:val="000000"/>
          <w:sz w:val="26"/>
        </w:rPr>
        <w:t xml:space="preserve"> рублей, количество новых рабочих мест – 85 </w:t>
      </w:r>
      <w:r>
        <w:rPr>
          <w:color w:val="000000"/>
          <w:sz w:val="26"/>
        </w:rPr>
        <w:t>ед.</w:t>
      </w:r>
      <w:r>
        <w:rPr>
          <w:color w:val="000000"/>
          <w:sz w:val="26"/>
        </w:rPr>
        <w:t>),</w:t>
      </w:r>
    </w:p>
    <w:p w14:paraId="13000000">
      <w:pPr>
        <w:widowControl w:val="1"/>
        <w:ind w:firstLine="709" w:left="0"/>
        <w:jc w:val="both"/>
        <w:rPr>
          <w:color w:val="000000"/>
          <w:sz w:val="26"/>
        </w:rPr>
      </w:pPr>
      <w:r>
        <w:rPr>
          <w:color w:val="000000"/>
          <w:sz w:val="26"/>
          <w:u w:val="single"/>
        </w:rPr>
        <w:t>ООО «</w:t>
      </w:r>
      <w:r>
        <w:rPr>
          <w:color w:val="000000"/>
          <w:sz w:val="26"/>
          <w:u w:val="single"/>
        </w:rPr>
        <w:t>Егнышевские</w:t>
      </w:r>
      <w:r>
        <w:rPr>
          <w:color w:val="000000"/>
          <w:sz w:val="26"/>
          <w:u w:val="single"/>
        </w:rPr>
        <w:t xml:space="preserve"> сады»</w:t>
      </w:r>
      <w:r>
        <w:rPr>
          <w:color w:val="000000"/>
          <w:sz w:val="26"/>
        </w:rPr>
        <w:t xml:space="preserve"> </w:t>
      </w:r>
      <w:r>
        <w:rPr>
          <w:color w:val="000000"/>
          <w:sz w:val="26"/>
        </w:rPr>
        <w:t xml:space="preserve">с инвестиционным проектом «Создание плантаций по выращиванию голубики» (объем инвестиций по проекту 65,0 </w:t>
      </w:r>
      <w:r>
        <w:rPr>
          <w:color w:val="000000"/>
          <w:sz w:val="26"/>
        </w:rPr>
        <w:t>млн</w:t>
      </w:r>
      <w:r>
        <w:rPr>
          <w:color w:val="000000"/>
          <w:sz w:val="26"/>
        </w:rPr>
        <w:t xml:space="preserve"> рублей, количество новых рабочих мест – 25 </w:t>
      </w:r>
      <w:r>
        <w:rPr>
          <w:color w:val="000000"/>
          <w:sz w:val="26"/>
        </w:rPr>
        <w:t>ед.</w:t>
      </w:r>
      <w:r>
        <w:rPr>
          <w:color w:val="000000"/>
          <w:sz w:val="26"/>
        </w:rPr>
        <w:t>).</w:t>
      </w:r>
    </w:p>
    <w:p w14:paraId="14000000">
      <w:pPr>
        <w:widowControl w:val="1"/>
        <w:ind w:firstLine="709" w:left="0"/>
        <w:jc w:val="both"/>
        <w:rPr>
          <w:color w:val="000000"/>
          <w:sz w:val="26"/>
        </w:rPr>
      </w:pPr>
    </w:p>
    <w:p w14:paraId="15000000">
      <w:pPr>
        <w:pStyle w:val="Style_1"/>
        <w:widowControl w:val="1"/>
        <w:ind/>
        <w:jc w:val="both"/>
        <w:rPr>
          <w:color w:val="000000"/>
          <w:sz w:val="26"/>
          <w:u w:val="single"/>
        </w:rPr>
      </w:pPr>
      <w:r>
        <w:rPr>
          <w:color w:val="000000"/>
          <w:sz w:val="26"/>
          <w:u w:val="single"/>
        </w:rPr>
        <w:t>По состоянию на 01.01.2026:</w:t>
      </w:r>
    </w:p>
    <w:p w14:paraId="16000000">
      <w:pPr>
        <w:widowControl w:val="1"/>
        <w:ind w:firstLine="709" w:left="0"/>
        <w:jc w:val="right"/>
        <w:rPr>
          <w:i w:val="1"/>
          <w:color w:val="000000"/>
          <w:sz w:val="24"/>
        </w:rPr>
      </w:pPr>
    </w:p>
    <w:tbl>
      <w:tblPr>
        <w:tblW w:type="auto" w:w="0"/>
        <w:tblInd w:type="dxa" w:w="-176"/>
        <w:tblBorders>
          <w:top w:sz="4" w:themeColor="text1" w:val="single"/>
          <w:left w:sz="4" w:themeColor="text1" w:val="single"/>
          <w:bottom w:sz="4" w:themeColor="text1" w:val="single"/>
          <w:right w:sz="4" w:themeColor="text1" w:val="single"/>
          <w:insideH w:sz="4" w:themeColor="text1" w:val="single"/>
          <w:insideV w:sz="4" w:themeColor="text1" w:val="single"/>
        </w:tblBorders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112"/>
        <w:gridCol w:w="2262"/>
        <w:gridCol w:w="1708"/>
        <w:gridCol w:w="1559"/>
      </w:tblGrid>
      <w:tr>
        <w:tc>
          <w:tcPr>
            <w:tcW w:type="dxa" w:w="411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7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Показатель</w:t>
            </w:r>
          </w:p>
        </w:tc>
        <w:tc>
          <w:tcPr>
            <w:tcW w:type="dxa" w:w="226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8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План с нарастающим итогом</w:t>
            </w:r>
          </w:p>
          <w:p w14:paraId="19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(по соглашениям                  с резидентами)</w:t>
            </w:r>
          </w:p>
        </w:tc>
        <w:tc>
          <w:tcPr>
            <w:tcW w:type="dxa" w:w="170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A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 xml:space="preserve">Факт </w:t>
            </w:r>
          </w:p>
          <w:p w14:paraId="1B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с нарастающим итогом</w:t>
            </w:r>
          </w:p>
        </w:tc>
        <w:tc>
          <w:tcPr>
            <w:tcW w:type="dxa" w:w="15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widowControl w:val="1"/>
              <w:ind/>
              <w:jc w:val="center"/>
              <w:rPr>
                <w:rFonts w:ascii="Times New Roman" w:hAnsi="Times New Roman"/>
                <w:b w:val="1"/>
                <w:color w:val="000000"/>
                <w:sz w:val="20"/>
              </w:rPr>
            </w:pPr>
            <w:r>
              <w:rPr>
                <w:rFonts w:ascii="Times New Roman" w:hAnsi="Times New Roman"/>
                <w:b w:val="1"/>
                <w:color w:val="000000"/>
                <w:sz w:val="20"/>
              </w:rPr>
              <w:t>Исполнение</w:t>
            </w:r>
          </w:p>
        </w:tc>
      </w:tr>
      <w:tr>
        <w:tc>
          <w:tcPr>
            <w:tcW w:type="dxa" w:w="411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D000000">
            <w:pPr>
              <w:widowControl w:val="1"/>
              <w:spacing w:after="0" w:line="240" w:lineRule="auto"/>
              <w:ind/>
              <w:jc w:val="left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Количество резидентов ТОР (</w:t>
            </w:r>
            <w:r>
              <w:rPr>
                <w:rFonts w:ascii="Times New Roman" w:hAnsi="Times New Roman"/>
                <w:color w:val="000000"/>
                <w:sz w:val="26"/>
              </w:rPr>
              <w:t>ед</w:t>
            </w:r>
            <w:r>
              <w:rPr>
                <w:rFonts w:ascii="Times New Roman" w:hAnsi="Times New Roman"/>
                <w:color w:val="000000"/>
                <w:sz w:val="26"/>
              </w:rPr>
              <w:t>).</w:t>
            </w:r>
          </w:p>
        </w:tc>
        <w:tc>
          <w:tcPr>
            <w:tcW w:type="dxa" w:w="226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17</w:t>
            </w:r>
          </w:p>
        </w:tc>
        <w:tc>
          <w:tcPr>
            <w:tcW w:type="dxa" w:w="170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F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7</w:t>
            </w:r>
          </w:p>
        </w:tc>
        <w:tc>
          <w:tcPr>
            <w:tcW w:type="dxa" w:w="15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0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4</w:t>
            </w:r>
            <w:r>
              <w:rPr>
                <w:rFonts w:ascii="Times New Roman" w:hAnsi="Times New Roman"/>
                <w:color w:val="000000"/>
                <w:sz w:val="26"/>
              </w:rPr>
              <w:t>1</w:t>
            </w:r>
            <w:r>
              <w:rPr>
                <w:rFonts w:ascii="Times New Roman" w:hAnsi="Times New Roman"/>
                <w:color w:val="000000"/>
                <w:sz w:val="26"/>
              </w:rPr>
              <w:t>,</w:t>
            </w:r>
            <w:r>
              <w:rPr>
                <w:rFonts w:ascii="Times New Roman" w:hAnsi="Times New Roman"/>
                <w:color w:val="000000"/>
                <w:sz w:val="26"/>
              </w:rPr>
              <w:t>18</w:t>
            </w:r>
            <w:r>
              <w:rPr>
                <w:rFonts w:ascii="Times New Roman" w:hAnsi="Times New Roman"/>
                <w:color w:val="000000"/>
                <w:sz w:val="26"/>
              </w:rPr>
              <w:t>%</w:t>
            </w:r>
          </w:p>
        </w:tc>
      </w:tr>
      <w:tr>
        <w:tc>
          <w:tcPr>
            <w:tcW w:type="dxa" w:w="411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1000000">
            <w:pPr>
              <w:widowControl w:val="1"/>
              <w:spacing w:after="0" w:line="240" w:lineRule="auto"/>
              <w:ind/>
              <w:jc w:val="left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Количество рабочих мест, созданных резидентами ТОР (ед.) </w:t>
            </w:r>
          </w:p>
        </w:tc>
        <w:tc>
          <w:tcPr>
            <w:tcW w:type="dxa" w:w="226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2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15</w:t>
            </w:r>
            <w:r>
              <w:rPr>
                <w:rFonts w:ascii="Times New Roman" w:hAnsi="Times New Roman"/>
                <w:color w:val="000000"/>
                <w:sz w:val="26"/>
              </w:rPr>
              <w:t> </w:t>
            </w:r>
            <w:r>
              <w:rPr>
                <w:rFonts w:ascii="Times New Roman" w:hAnsi="Times New Roman"/>
                <w:color w:val="000000"/>
                <w:sz w:val="26"/>
              </w:rPr>
              <w:t>341</w:t>
            </w:r>
            <w:r>
              <w:rPr>
                <w:rFonts w:ascii="Times New Roman" w:hAnsi="Times New Roman"/>
                <w:color w:val="000000"/>
                <w:sz w:val="26"/>
              </w:rPr>
              <w:t>,0</w:t>
            </w:r>
          </w:p>
        </w:tc>
        <w:tc>
          <w:tcPr>
            <w:tcW w:type="dxa" w:w="170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3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16 731</w:t>
            </w:r>
          </w:p>
        </w:tc>
        <w:tc>
          <w:tcPr>
            <w:tcW w:type="dxa" w:w="15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4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109,06%</w:t>
            </w:r>
          </w:p>
        </w:tc>
      </w:tr>
      <w:tr>
        <w:tc>
          <w:tcPr>
            <w:tcW w:type="dxa" w:w="411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5000000">
            <w:pPr>
              <w:widowControl w:val="1"/>
              <w:spacing w:after="0" w:line="240" w:lineRule="auto"/>
              <w:ind/>
              <w:jc w:val="left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Объем инвестиций, осуществленных резидентами ТОР (млн руб.)</w:t>
            </w:r>
          </w:p>
        </w:tc>
        <w:tc>
          <w:tcPr>
            <w:tcW w:type="dxa" w:w="226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6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12 929,42</w:t>
            </w:r>
          </w:p>
        </w:tc>
        <w:tc>
          <w:tcPr>
            <w:tcW w:type="dxa" w:w="170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7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17</w:t>
            </w:r>
            <w:r>
              <w:rPr>
                <w:rFonts w:ascii="Times New Roman" w:hAnsi="Times New Roman"/>
                <w:color w:val="000000"/>
                <w:sz w:val="26"/>
              </w:rPr>
              <w:t> 415,60</w:t>
            </w:r>
          </w:p>
        </w:tc>
        <w:tc>
          <w:tcPr>
            <w:tcW w:type="dxa" w:w="15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8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134,70%</w:t>
            </w:r>
          </w:p>
        </w:tc>
      </w:tr>
      <w:tr>
        <w:tc>
          <w:tcPr>
            <w:tcW w:type="dxa" w:w="411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9000000">
            <w:pPr>
              <w:widowControl w:val="1"/>
              <w:spacing w:after="0" w:line="240" w:lineRule="auto"/>
              <w:ind/>
              <w:jc w:val="left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 xml:space="preserve">Объем капитальных вложений, осуществленных  резидентом  на ТОР </w:t>
            </w:r>
            <w:r>
              <w:rPr>
                <w:rFonts w:ascii="Times New Roman" w:hAnsi="Times New Roman"/>
                <w:color w:val="000000"/>
                <w:sz w:val="26"/>
              </w:rPr>
              <w:t>«</w:t>
            </w:r>
            <w:r>
              <w:rPr>
                <w:rFonts w:ascii="Times New Roman" w:hAnsi="Times New Roman"/>
                <w:color w:val="000000"/>
                <w:sz w:val="26"/>
              </w:rPr>
              <w:t>Алексин</w:t>
            </w:r>
            <w:r>
              <w:rPr>
                <w:rFonts w:ascii="Times New Roman" w:hAnsi="Times New Roman"/>
                <w:color w:val="000000"/>
                <w:sz w:val="26"/>
              </w:rPr>
              <w:t>»</w:t>
            </w:r>
            <w:r>
              <w:rPr>
                <w:rFonts w:ascii="Times New Roman" w:hAnsi="Times New Roman"/>
                <w:color w:val="000000"/>
                <w:sz w:val="26"/>
              </w:rPr>
              <w:t xml:space="preserve"> (млн руб.)</w:t>
            </w:r>
          </w:p>
        </w:tc>
        <w:tc>
          <w:tcPr>
            <w:tcW w:type="dxa" w:w="2262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A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12 869,32</w:t>
            </w:r>
          </w:p>
        </w:tc>
        <w:tc>
          <w:tcPr>
            <w:tcW w:type="dxa" w:w="1708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B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17</w:t>
            </w:r>
            <w:r>
              <w:rPr>
                <w:rFonts w:ascii="Times New Roman" w:hAnsi="Times New Roman"/>
                <w:color w:val="000000"/>
                <w:sz w:val="26"/>
              </w:rPr>
              <w:t> 362,17</w:t>
            </w:r>
          </w:p>
        </w:tc>
        <w:tc>
          <w:tcPr>
            <w:tcW w:type="dxa" w:w="1559"/>
            <w:tcBorders>
              <w:top w:sz="4" w:themeColor="text1" w:val="single"/>
              <w:left w:sz="4" w:themeColor="text1" w:val="single"/>
              <w:bottom w:sz="4" w:themeColor="text1" w:val="single"/>
              <w:right w:sz="4" w:themeColor="text1" w:val="single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2C000000">
            <w:pPr>
              <w:widowControl w:val="1"/>
              <w:spacing w:after="0" w:line="240" w:lineRule="auto"/>
              <w:ind/>
              <w:jc w:val="center"/>
              <w:rPr>
                <w:rFonts w:ascii="Times New Roman" w:hAnsi="Times New Roman"/>
                <w:color w:val="000000"/>
                <w:sz w:val="26"/>
              </w:rPr>
            </w:pPr>
            <w:r>
              <w:rPr>
                <w:rFonts w:ascii="Times New Roman" w:hAnsi="Times New Roman"/>
                <w:color w:val="000000"/>
                <w:sz w:val="26"/>
              </w:rPr>
              <w:t>134,91%</w:t>
            </w:r>
          </w:p>
        </w:tc>
      </w:tr>
    </w:tbl>
    <w:p w14:paraId="2D000000">
      <w:pPr>
        <w:pStyle w:val="Style_1"/>
        <w:rPr>
          <w:color w:val="000000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MyOffice-CoreFramework-Linux/36-1319.1058.9942.953.1@46b7dcda34ec2e7b641d33cb1d2b32a264be336a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2026-05-07T08:59:33Z</dcterms:created>
  <dcterms:modified xsi:type="dcterms:W3CDTF">2026-05-07T11:46:24Z</dcterms:modified>
</cp:coreProperties>
</file>