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B62A5" w:rsidRPr="00E05501" w:rsidTr="00DE66FF">
        <w:tc>
          <w:tcPr>
            <w:tcW w:w="9571" w:type="dxa"/>
            <w:gridSpan w:val="2"/>
          </w:tcPr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BB62A5" w:rsidRPr="00E05501" w:rsidTr="00DE66FF">
        <w:tc>
          <w:tcPr>
            <w:tcW w:w="9571" w:type="dxa"/>
            <w:gridSpan w:val="2"/>
          </w:tcPr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BB62A5" w:rsidRPr="00E05501" w:rsidTr="00DE66FF">
        <w:tc>
          <w:tcPr>
            <w:tcW w:w="9571" w:type="dxa"/>
            <w:gridSpan w:val="2"/>
          </w:tcPr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Администрация</w:t>
            </w:r>
          </w:p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BB62A5" w:rsidRPr="00E05501" w:rsidTr="00DE66FF">
        <w:tc>
          <w:tcPr>
            <w:tcW w:w="9571" w:type="dxa"/>
            <w:gridSpan w:val="2"/>
          </w:tcPr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Постановление</w:t>
            </w:r>
          </w:p>
        </w:tc>
      </w:tr>
      <w:tr w:rsidR="00BB62A5" w:rsidRPr="00E05501" w:rsidTr="00DE66FF">
        <w:tc>
          <w:tcPr>
            <w:tcW w:w="9571" w:type="dxa"/>
            <w:gridSpan w:val="2"/>
          </w:tcPr>
          <w:p w:rsidR="00BB62A5" w:rsidRPr="00E05501" w:rsidRDefault="00BB62A5" w:rsidP="00DE66FF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62A5" w:rsidRPr="00E05501" w:rsidTr="00DE66FF">
        <w:tc>
          <w:tcPr>
            <w:tcW w:w="4785" w:type="dxa"/>
          </w:tcPr>
          <w:p w:rsidR="00BB62A5" w:rsidRPr="00E05501" w:rsidRDefault="00BB62A5" w:rsidP="00DC4F37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от </w:t>
            </w:r>
            <w:r w:rsidR="00DC4F37">
              <w:rPr>
                <w:rFonts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августа 2018</w:t>
            </w:r>
          </w:p>
        </w:tc>
        <w:tc>
          <w:tcPr>
            <w:tcW w:w="4786" w:type="dxa"/>
          </w:tcPr>
          <w:p w:rsidR="00BB62A5" w:rsidRPr="00E05501" w:rsidRDefault="00BB62A5" w:rsidP="00DC4F37">
            <w:pPr>
              <w:pStyle w:val="1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6"/>
                <w:szCs w:val="26"/>
              </w:rPr>
              <w:t>17</w:t>
            </w:r>
            <w:r w:rsidR="00DC4F37">
              <w:rPr>
                <w:rFonts w:ascii="Arial" w:hAnsi="Arial" w:cs="Arial"/>
                <w:b/>
                <w:sz w:val="26"/>
                <w:szCs w:val="26"/>
              </w:rPr>
              <w:t>96</w:t>
            </w:r>
          </w:p>
        </w:tc>
      </w:tr>
    </w:tbl>
    <w:p w:rsidR="00BB62A5" w:rsidRPr="00DC4F37" w:rsidRDefault="00BB62A5" w:rsidP="00BD7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62A5" w:rsidRPr="00DC4F37" w:rsidRDefault="00BB62A5" w:rsidP="00BD7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FD2" w:rsidRPr="00DC4F37" w:rsidRDefault="000D0FD2" w:rsidP="00DC4F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DC4F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Алексин от 01.04.2015 № 599 «Об утверждении муниципальной программы</w:t>
      </w:r>
      <w:r w:rsidR="005D00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«Культура в муниципальном образовании город Алексин»</w:t>
      </w:r>
    </w:p>
    <w:p w:rsidR="000D0FD2" w:rsidRPr="00DC4F37" w:rsidRDefault="000D0FD2" w:rsidP="00DC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DC4F37" w:rsidRDefault="000D0FD2" w:rsidP="00DC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на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основании Устава муниципального образования город Алексин, администрация муниципального образования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город Алексин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2885" w:rsidRPr="00DC4F3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город Алексин </w:t>
      </w:r>
      <w:r w:rsidRPr="00DC4F37">
        <w:rPr>
          <w:rFonts w:ascii="Arial" w:eastAsia="Times New Roman" w:hAnsi="Arial" w:cs="Arial"/>
          <w:bCs/>
          <w:sz w:val="24"/>
          <w:szCs w:val="24"/>
          <w:lang w:eastAsia="ru-RU"/>
        </w:rPr>
        <w:t>от 01.04.2015 № 599 «Об утверждении муниципальной программы</w:t>
      </w:r>
      <w:r w:rsidR="005D00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ru-RU"/>
        </w:rPr>
        <w:t>«Культура в муниципальном образовании город Алексин»,</w:t>
      </w:r>
      <w:r w:rsidR="005D00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изложив </w:t>
      </w:r>
      <w:r w:rsidR="00792885" w:rsidRPr="00DC4F3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BD33E2"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новой редакции </w:t>
      </w:r>
      <w:r w:rsidR="00792885" w:rsidRPr="00DC4F37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2. Управлению по организационной, кадровой работе и информационному обеспечению (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ru-RU"/>
        </w:rPr>
        <w:t>Изюмская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«Интернет».</w:t>
      </w: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3.Управлению делопроизводства (Бабушкина И.В.), комитету по культуре, молодежной политике и спорту (Алешина О.Ю.), управлению по работе с сельскими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территориями (Селезнева А.М.) в течение 10 дней со дня принятия настоящего Постановления 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обнародования.</w:t>
      </w: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DC4F37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759"/>
      </w:tblGrid>
      <w:tr w:rsidR="00DC4F37" w:rsidRPr="00DC4F37" w:rsidTr="00DC4F37">
        <w:tc>
          <w:tcPr>
            <w:tcW w:w="4998" w:type="dxa"/>
          </w:tcPr>
          <w:p w:rsidR="00DC4F37" w:rsidRPr="00DC4F37" w:rsidRDefault="00DC4F37" w:rsidP="00DC4F3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DC4F37" w:rsidRPr="00DC4F37" w:rsidRDefault="00DC4F37" w:rsidP="00DC4F3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C4F37" w:rsidRPr="00DC4F37" w:rsidRDefault="00DC4F37" w:rsidP="00DC4F3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4998" w:type="dxa"/>
          </w:tcPr>
          <w:p w:rsidR="00DC4F37" w:rsidRPr="00DC4F37" w:rsidRDefault="00DC4F37" w:rsidP="00DC4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4F37" w:rsidRPr="00DC4F37" w:rsidRDefault="00DC4F37" w:rsidP="00DC4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4F37" w:rsidRPr="00DC4F37" w:rsidRDefault="00DC4F37" w:rsidP="00DC4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П.Е. Фёдоров</w:t>
            </w:r>
          </w:p>
        </w:tc>
      </w:tr>
    </w:tbl>
    <w:p w:rsidR="000D0FD2" w:rsidRDefault="000D0FD2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F37" w:rsidRPr="00DC4F37" w:rsidRDefault="00DC4F3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CB46F7" w:rsidRPr="00DC4F37" w:rsidRDefault="00CB46F7" w:rsidP="00DC4F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5D00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CB46F7" w:rsidRPr="00DC4F37" w:rsidRDefault="00CB46F7" w:rsidP="00DC4F3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администрации МО город Алексин</w:t>
      </w:r>
    </w:p>
    <w:p w:rsidR="00CB46F7" w:rsidRPr="00DC4F37" w:rsidRDefault="00CB46F7" w:rsidP="00DC4F37">
      <w:pPr>
        <w:keepNext/>
        <w:tabs>
          <w:tab w:val="left" w:pos="1584"/>
        </w:tabs>
        <w:spacing w:after="0" w:line="240" w:lineRule="auto"/>
        <w:ind w:left="1584" w:hanging="1584"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="00BD7C82" w:rsidRPr="00DC4F37">
        <w:rPr>
          <w:rFonts w:ascii="Arial" w:eastAsia="Times New Roman" w:hAnsi="Arial" w:cs="Arial"/>
          <w:bCs/>
          <w:sz w:val="24"/>
          <w:szCs w:val="24"/>
          <w:lang w:eastAsia="ar-SA"/>
        </w:rPr>
        <w:t>20.08.2018г.</w:t>
      </w:r>
      <w:r w:rsidR="005D000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 w:rsidR="00BD7C82" w:rsidRPr="00DC4F37">
        <w:rPr>
          <w:rFonts w:ascii="Arial" w:eastAsia="Times New Roman" w:hAnsi="Arial" w:cs="Arial"/>
          <w:bCs/>
          <w:sz w:val="24"/>
          <w:szCs w:val="24"/>
          <w:lang w:eastAsia="ar-SA"/>
        </w:rPr>
        <w:t>1796</w:t>
      </w:r>
    </w:p>
    <w:p w:rsidR="00CB46F7" w:rsidRPr="00A8630F" w:rsidRDefault="00CB46F7" w:rsidP="00CB46F7">
      <w:pPr>
        <w:widowControl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ar-SA"/>
        </w:rPr>
      </w:pPr>
    </w:p>
    <w:p w:rsidR="00CB46F7" w:rsidRPr="00DC4F37" w:rsidRDefault="00CB46F7" w:rsidP="00DC4F3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Муниципальная программа</w:t>
      </w:r>
    </w:p>
    <w:p w:rsidR="00CB46F7" w:rsidRPr="00DC4F37" w:rsidRDefault="00CB46F7" w:rsidP="00DC4F3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«Культура в муниципальном образовании город Алексин»</w:t>
      </w:r>
    </w:p>
    <w:p w:rsidR="00CB46F7" w:rsidRPr="00DC4F37" w:rsidRDefault="00CB46F7" w:rsidP="00DC4F3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Паспорт программы</w:t>
      </w:r>
    </w:p>
    <w:tbl>
      <w:tblPr>
        <w:tblW w:w="9585" w:type="dxa"/>
        <w:tblInd w:w="-5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4"/>
        <w:gridCol w:w="6921"/>
        <w:gridCol w:w="10"/>
      </w:tblGrid>
      <w:tr w:rsidR="00CB46F7" w:rsidRPr="00DC4F37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ind w:left="-3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DC4F37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по бюджету и финансам </w:t>
            </w:r>
          </w:p>
        </w:tc>
      </w:tr>
      <w:tr w:rsidR="00CB46F7" w:rsidRPr="00DC4F37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Участники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МАОУ ДОД «АДШИ им. К.М. Щедрина»; МБУК «АЦБС»;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«АХКМ»; МБУК «АРДК»; МБУ «КДЦ»,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</w:tr>
      <w:tr w:rsidR="00CB46F7" w:rsidRPr="00DC4F37" w:rsidTr="00CB46F7">
        <w:trPr>
          <w:trHeight w:val="76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Подпрограммы и основные мероприятия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1. «Художественное образование»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2. «Библиотечное дело»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3. «Музейное дело»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4. «Сохранение и развитие учреждений клубного типа и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центра»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5. «Проведение праздничных, торжественных, юбилейных, культурно-массовых и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для населения»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«Обеспечение реализации муниципальной программы»</w:t>
            </w:r>
          </w:p>
        </w:tc>
      </w:tr>
      <w:tr w:rsidR="00CB46F7" w:rsidRPr="00DC4F37" w:rsidTr="00CB46F7">
        <w:trPr>
          <w:trHeight w:val="76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CB46F7" w:rsidRPr="00DC4F37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культурного потенциала, обеспечение населения в услугах, предоставляемых учреждениями культуры</w:t>
            </w:r>
          </w:p>
        </w:tc>
      </w:tr>
      <w:tr w:rsidR="00CB46F7" w:rsidRPr="00DC4F37" w:rsidTr="00CB46F7">
        <w:trPr>
          <w:trHeight w:val="64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деятельности</w:t>
            </w:r>
          </w:p>
        </w:tc>
      </w:tr>
      <w:tr w:rsidR="00CB46F7" w:rsidRPr="00DC4F37" w:rsidTr="00CB46F7">
        <w:trPr>
          <w:trHeight w:val="648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(процентов на 1 тыс. человек населения);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 (единиц);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 (процентов)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культурно -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 (единиц);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(единиц);</w:t>
            </w:r>
          </w:p>
          <w:p w:rsidR="00CB46F7" w:rsidRPr="00DC4F37" w:rsidRDefault="00CB46F7" w:rsidP="00DC4F37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общей численности населения (процентов)</w:t>
            </w:r>
          </w:p>
        </w:tc>
      </w:tr>
      <w:tr w:rsidR="00CB46F7" w:rsidRPr="00DC4F37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реализуется в 1 этап: 2015 – 2020 годы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D6167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612935,5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78292,4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78444,5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117848,1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  <w:r w:rsidR="00AE588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131</w:t>
            </w:r>
            <w:r w:rsidR="00F428FC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442</w:t>
            </w:r>
            <w:r w:rsidR="00AE588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D616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103246,1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103661,7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средства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местного бюджета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</w:t>
            </w:r>
            <w:r w:rsidR="00763B6F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6032,</w:t>
            </w:r>
            <w:r w:rsidR="00E95496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– </w:t>
            </w:r>
            <w:r w:rsidR="00E50645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2D616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2398,</w:t>
            </w:r>
            <w:r w:rsidR="00E95496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их них средства областного бюджета – </w:t>
            </w:r>
            <w:r w:rsidR="00D17E7E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</w:t>
            </w:r>
            <w:r w:rsidR="00E95496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698,9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в том числе по годам: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18943,1 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D17E7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F428FC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4040,</w:t>
            </w:r>
            <w:r w:rsidR="00E95496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 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 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их них средства федерального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–</w:t>
            </w:r>
            <w:r w:rsidR="00F60969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26</w:t>
            </w:r>
            <w:r w:rsidR="00F428F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204,6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DC4F37" w:rsidRDefault="00011B89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 тыс. руб.</w:t>
            </w:r>
          </w:p>
          <w:p w:rsidR="00CB46F7" w:rsidRPr="00DC4F37" w:rsidRDefault="00011B89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 тыс. руб.</w:t>
            </w:r>
          </w:p>
          <w:p w:rsidR="00CB46F7" w:rsidRPr="00DC4F37" w:rsidRDefault="00011B89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- 11161,8 тыс. руб.</w:t>
            </w:r>
          </w:p>
          <w:p w:rsidR="00F60969" w:rsidRPr="00DC4F37" w:rsidRDefault="00011B89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F6096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1</w:t>
            </w:r>
            <w:r w:rsidR="00F428FC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5003,8</w:t>
            </w:r>
            <w:r w:rsidR="00F6096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Финансирование по подпрограммам и основным мероприятиям программы: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ab/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1 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148211,7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22 748,4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22 696,7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1192</w:t>
            </w:r>
            <w:r w:rsidR="00C04338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88,7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14 432,3 тыс. руб.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14676,8 тыс. руб.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</w:t>
            </w:r>
            <w:r w:rsidR="00C04338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880BAB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70</w:t>
            </w:r>
            <w:r w:rsidR="00200A67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960,8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6 826,4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6 656,8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E50645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2F559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200A6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900,0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 –</w:t>
            </w:r>
            <w:r w:rsidR="009E6620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</w:t>
            </w:r>
            <w:r w:rsidR="00200A67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475,9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18 367,0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 тыс. руб.</w:t>
            </w:r>
          </w:p>
          <w:p w:rsidR="00CB46F7" w:rsidRPr="00DC4F37" w:rsidRDefault="00E50645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</w:t>
            </w:r>
            <w:r w:rsidR="00200A6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590,9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 тыс. руб.;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Основное мероприятие «Обеспечение реализации муниципальной программы» -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103923,4 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14 898,3 тыс. руб. в том числе 150,0 тыс. руб. за счет дотации на поощрение достижений наилучших показателей деятельности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 тыс. руб.</w:t>
            </w:r>
          </w:p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реализации Программы объемы финансирования подлежат уточнению.</w:t>
            </w:r>
          </w:p>
        </w:tc>
      </w:tr>
      <w:tr w:rsidR="00CB46F7" w:rsidRPr="00DC4F37" w:rsidTr="00CB46F7">
        <w:trPr>
          <w:trHeight w:val="88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Ожидаемые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результаты реализации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 до 12%;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библиотечного фонда до 2 %;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библиотек до 120 на 1 тыс. человек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музея в год до 25% на 1 тыс. человек населения;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экспонатов (предметов) основного и научно-вспомогательного фонда музея до 10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музейных предметов основного фонда,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внесенных в электронный каталог до 50%;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до </w:t>
            </w:r>
            <w:r w:rsidR="00EA687C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единиц;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 до 100 человек;</w:t>
            </w:r>
          </w:p>
          <w:p w:rsidR="00CB46F7" w:rsidRPr="00DC4F37" w:rsidRDefault="00CB46F7" w:rsidP="00DC4F3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удельного веса населения, принявшего участие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 до 50%</w:t>
            </w:r>
            <w:r w:rsidR="006D3424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;</w:t>
            </w:r>
          </w:p>
          <w:p w:rsidR="006D3424" w:rsidRPr="00DC4F37" w:rsidRDefault="006D3424" w:rsidP="00DC4F3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</w:t>
            </w:r>
            <w:r w:rsidR="00CE262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ний учреждений культуры до 138,6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%;</w:t>
            </w:r>
          </w:p>
          <w:p w:rsidR="006D3424" w:rsidRPr="00DC4F37" w:rsidRDefault="006D3424" w:rsidP="00DC4F3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средней численности клубных формирований в расчете на 1 тыс. человек до 14,</w:t>
            </w:r>
            <w:r w:rsidR="00CE262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человек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46F7" w:rsidRPr="00DC4F37" w:rsidRDefault="00CB46F7" w:rsidP="00DC4F37">
      <w:pPr>
        <w:suppressAutoHyphens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46F7" w:rsidRPr="00DC4F37" w:rsidRDefault="00CB46F7" w:rsidP="00DC4F3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8630F" w:rsidRPr="00DC4F37" w:rsidRDefault="00A8630F" w:rsidP="00DC4F3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tabs>
          <w:tab w:val="left" w:pos="75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культуры муниципального образования</w:t>
      </w:r>
    </w:p>
    <w:p w:rsidR="00CB46F7" w:rsidRPr="00DC4F37" w:rsidRDefault="00CB46F7" w:rsidP="00DC4F3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Доступность культурных благ для населения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обеспечивается и представлена учреждениями культурно–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и клубного типа (из них: 12 – сельские Дома культуры, МБУК «Алексинский РДК», МБУ «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центр города Алексина), учреждением дополнительного образования детей (МАОУ ДОД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поселениях, 8 – в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городе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). Муниципальные учреждения предоставляют населению большой спектр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культурных, образовательных и информационных услуг.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В качестве положительных тенденций, наблюдаемых в муниципальной системе культуры за последние три года, можно выделить следующие процессы: 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- рост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востребованности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населением культурных услуг, предоставляемых муниципальными учреждениями;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- формирование устойчивой системы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районных праздников, конкурсов и фестивалей;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- изменение условий труда работников культуры (в двух учреждениях проведен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капитальный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 текущий ремонты).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Во всех учреждениях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установлены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системы ОПС,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что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позволяет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обеспечить безопасность пребывания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зданиях, как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работников,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так и получателей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услуг. Проведена аттестация рабочих мест по условиям труда.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Музей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2014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20 тыс. единиц хранения, ежегодное количество посетителей музея составляет около 10 тыс. чел. Отсутствие необходимых финансовых сре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дств сд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DC4F37" w:rsidRDefault="00CB46F7" w:rsidP="00DC4F37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DC4F37" w:rsidRDefault="00CB46F7" w:rsidP="00DC4F37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иметь изображение самого предмета. Оцифровка предметов может быть выполнена собственными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силами музея без привлечения дополнительных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Библиотечное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досуговую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функции в обществе. 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 и МБУК "Центральная городская библиотека города Алексина"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компьютеров. 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важно в условиях активного развития инновационной деятельности. </w:t>
      </w:r>
    </w:p>
    <w:p w:rsidR="00CB46F7" w:rsidRPr="00DC4F37" w:rsidRDefault="00CB46F7" w:rsidP="00DC4F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ru-RU"/>
        </w:rPr>
        <w:t>МБУК «РДК»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координирует деятельность и является методическим центром для муниципальных учреждений культуры клубного типа на селе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МБУ «КДЦ»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DC4F37" w:rsidRDefault="00CB46F7" w:rsidP="00DC4F3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2016 год в России объявлен Годом кино,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Художественно-эстетическое образование осуществляет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МАОУ ДОД «АДШИ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МАОУ ДОД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аудио- и видеоматериалов, компьютеры и пр.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Помимо низкого уровня материально-технической оснащенности учреждений культуры, проблемными для отрасли остаются кадровый дефицит, отсутствие возможности повышения квалификации и профессиональной переподготовки у значительной части работников в связи с недостаточным финансированием.</w:t>
      </w:r>
    </w:p>
    <w:p w:rsidR="00CB46F7" w:rsidRPr="00DC4F37" w:rsidRDefault="00CB46F7" w:rsidP="00DC4F37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Решение проблем, поставленных в программе, позволит достичь следующих результатов: создать благоприятные условия для доступа населения к культурным ценностям, увеличить число жителей, пользующихся услугами культурно -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учреждений, библиотек, музея, разнообразить формы и методы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досуговой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 по воспитанию у населения уважения к культурным ценностям, профилактике правонарушений среди детей и подростков.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bookmarkStart w:id="1" w:name="sub_1200"/>
      <w:bookmarkEnd w:id="1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Приоритеты, цели и задачи муниципальной программы, прогноз развития сферы культуры, прогноз конечных результатов реализации 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до 2020 года и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:rsidR="00CB46F7" w:rsidRPr="00DC4F37" w:rsidRDefault="00CB46F7" w:rsidP="00DC4F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приоритетом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является обеспечение доступности качественных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культурных услуг при условии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эффективного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использования ресурсов.</w:t>
      </w:r>
    </w:p>
    <w:p w:rsidR="00CB46F7" w:rsidRPr="00DC4F37" w:rsidRDefault="00CB46F7" w:rsidP="00DC4F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рамках достижения цели и решения задач программы предусмотрены меры, согласно которым, главным является наиболее полное удовлетворение растущих и изменяющихся культурных запросов и нужд населения района.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Цель муниципальной программы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сохранение и развитие культурного потенциала, обеспечение населения в услугах, предоставляемых учреждениями культуры.</w:t>
      </w:r>
    </w:p>
    <w:p w:rsidR="00CB46F7" w:rsidRPr="00DC4F37" w:rsidRDefault="00CB46F7" w:rsidP="00DC4F37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Для достижения поставленной цели будут решаться следующие задачи: повышение доступности и качества муниципальных услуг в сфере культуры и искусства; развитие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F37">
        <w:rPr>
          <w:rFonts w:ascii="Arial" w:eastAsia="Times New Roman" w:hAnsi="Arial" w:cs="Arial"/>
          <w:sz w:val="24"/>
          <w:szCs w:val="24"/>
        </w:rPr>
        <w:t>В программе предполагается использовать систему индикаторов и цифровых показателей, характеризующих текущие результаты культурной деятельности.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муниципальной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программы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позволитповысить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качество жизни в районе, создать благоприятную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социокультурную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атмосферу и будет выражаться к завершению 2017 года при выполнении Программы в полном объеме 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удельного веса детей, получающих услуги дополнительного образования в области искусств, в общей численности детей в возрасте 6 – 18 лет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до 11,8%;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обновлении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библиотечного фонда до 1,6 %;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библиотек до 105 на 1 тыс. человек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населения;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музея в год до 20% на 1 тыс. человек населения;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экспонатов (предметов) основного и научно-вспомогательного фонда музея до 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единиц;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доли музейных предметов основного фонда,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внесенных в электронный каталог до 47%;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до 35 единиц;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участников международных,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 из числа учащихся, преподавателей детской школы искусств и творческих коллективов района до 100 человек;</w:t>
      </w:r>
      <w:proofErr w:type="gramEnd"/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удельного веса населения, принявшего участие в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мероприятиях, до 50%.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Кроме достижения данных показателей эффективности, реализация Программы обеспечит улучшение условий пребывания пользователей в учреждениях культуры и повышение комфортности и качества предоставляемых услуг.</w:t>
      </w:r>
    </w:p>
    <w:p w:rsidR="00400938" w:rsidRPr="00DC4F37" w:rsidRDefault="00400938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Этапы и сроки реализации муниципальной программы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Программа реализуется в 1 этап: 2015 – 2020 годы.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меры правового регулирования муниципальной программы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Реализация подпрограмм муниципальной программы осуществляется в соответствии с федеральным законодательством, законодательством Тульской области и нормативно-правовыми актами органов местного самоуправления администрации муниципального образования город Алексин.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05" w:type="dxa"/>
        <w:tblInd w:w="-15" w:type="dxa"/>
        <w:tblLayout w:type="fixed"/>
        <w:tblLook w:val="04A0"/>
      </w:tblPr>
      <w:tblGrid>
        <w:gridCol w:w="531"/>
        <w:gridCol w:w="2651"/>
        <w:gridCol w:w="2121"/>
        <w:gridCol w:w="1193"/>
        <w:gridCol w:w="1590"/>
        <w:gridCol w:w="1619"/>
      </w:tblGrid>
      <w:tr w:rsidR="00CB46F7" w:rsidRPr="00DC4F37" w:rsidTr="00CB46F7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N </w:t>
            </w:r>
            <w:proofErr w:type="spellStart"/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основного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Вид НПА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CB46F7" w:rsidRPr="00DC4F37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DC4F37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работников муниципальных учреждений образования в сфере культуры и искусства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EA431B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6" w:history="1">
              <w:r w:rsidR="00CB46F7"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30.09 2013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1989-ЗТО «Об образовании»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качества жизни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учреждений образования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сфере культуры и искусства</w:t>
            </w:r>
          </w:p>
        </w:tc>
      </w:tr>
      <w:tr w:rsidR="00CB46F7" w:rsidRPr="00DC4F37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EA431B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7" w:history="1">
              <w:r w:rsidR="00CB46F7"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20.12. 1995 № 21-ЗТО «О библиотечном деле»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</w:t>
            </w:r>
          </w:p>
        </w:tc>
      </w:tr>
      <w:tr w:rsidR="00CB46F7" w:rsidRPr="00DC4F37" w:rsidTr="00CB46F7">
        <w:trPr>
          <w:trHeight w:val="16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муниципального музея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EA431B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8" w:history="1">
              <w:r w:rsidR="00CB46F7"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19.03. 1999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121-ЗТО «О музеях и музейном деле в Тульской области»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музея </w:t>
            </w:r>
          </w:p>
        </w:tc>
      </w:tr>
      <w:tr w:rsidR="00CB46F7" w:rsidRPr="00DC4F37" w:rsidTr="00CB46F7">
        <w:trPr>
          <w:trHeight w:val="5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Выплата ежемесячной надбавки к окладу по занимаемой должности работникам муниципальных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клубных учреждений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администрации муниципального образования город Алексин от 15.12.2015 № 2806 «Об утверждении Положения об условиях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оплаты труда работников муниципальных учреждений культуры муниципального образования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город Алексин»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работников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клубных учреждений</w:t>
            </w:r>
          </w:p>
        </w:tc>
      </w:tr>
      <w:tr w:rsidR="00CB46F7" w:rsidRPr="00DC4F37" w:rsidTr="00CB46F7">
        <w:trPr>
          <w:trHeight w:val="37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работникам муниципальных библиотек и музея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EA431B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9" w:history="1">
              <w:r w:rsidR="00CB46F7"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20.07. 2011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 и музея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Разработка дополнительных нормативных правовых актов будет обусловлена изменениями законодательства Российской Федерации, Тульской области и муниципальных правовых актов.</w:t>
      </w:r>
    </w:p>
    <w:p w:rsidR="00CB46F7" w:rsidRPr="00DC4F37" w:rsidRDefault="00CB46F7" w:rsidP="00DC4F37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bookmarkStart w:id="2" w:name="sub_1700"/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Текст подпрограмм и основных мероприятий,</w:t>
      </w:r>
      <w:r w:rsidR="005D0006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включенных в муниципальную программу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2"/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Программа включает подпрограммы, которые направлены на создание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условий для повышения эффективности реализации государственных (муниципальных) функций и обеспечение реализации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Масштаб задач Программы предусматривает выделение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пяти подпрограмм: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 1. «Художественное образование»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 2. «Библиотечное дело»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 3. «Музейное дело»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4. «Сохранение и развитие учреждений клубного типа и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культурно-досугового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центра»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5. «Проведение праздничных, торжественных, юбилейных, культурно-массовых и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для населения»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«Художественное образование»</w:t>
      </w:r>
    </w:p>
    <w:p w:rsidR="00792885" w:rsidRPr="00DC4F37" w:rsidRDefault="00792885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tbl>
      <w:tblPr>
        <w:tblpPr w:leftFromText="180" w:rightFromText="180" w:vertAnchor="text" w:horzAnchor="margin" w:tblpXSpec="center" w:tblpY="10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8"/>
        <w:gridCol w:w="7868"/>
      </w:tblGrid>
      <w:tr w:rsidR="00CB46F7" w:rsidRPr="00DC4F37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Художественное образование</w:t>
            </w:r>
          </w:p>
        </w:tc>
      </w:tr>
      <w:tr w:rsidR="00CB46F7" w:rsidRPr="00DC4F37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DC4F37" w:rsidTr="00DC4F37">
        <w:trPr>
          <w:cantSplit/>
          <w:trHeight w:val="56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433041">
        <w:trPr>
          <w:cantSplit/>
          <w:trHeight w:val="55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МАУ ДО «АДШИ им. К.М. Щедрина»</w:t>
            </w:r>
          </w:p>
        </w:tc>
      </w:tr>
      <w:tr w:rsidR="00CB46F7" w:rsidRPr="00DC4F37" w:rsidTr="00433041">
        <w:trPr>
          <w:cantSplit/>
          <w:trHeight w:val="578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CB46F7" w:rsidRPr="00DC4F37" w:rsidTr="00433041">
        <w:trPr>
          <w:cantSplit/>
          <w:trHeight w:val="5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CB46F7" w:rsidRPr="00DC4F37" w:rsidTr="00433041">
        <w:trPr>
          <w:cantSplit/>
          <w:trHeight w:val="522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</w:t>
            </w:r>
          </w:p>
        </w:tc>
      </w:tr>
      <w:tr w:rsidR="00CB46F7" w:rsidRPr="00DC4F37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DC4F37" w:rsidTr="00433041">
        <w:trPr>
          <w:cantSplit/>
          <w:trHeight w:val="24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Объемы бюджетных ассигнований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Общий объем финансирования –148211,7тыс. руб.,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25835,1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25884,1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города-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143240,3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2015-22030,8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2016- 22092,7 тыс. руб.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2017- 23860,9 тыс. руб.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2018 - 25062,7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2019 - 25072,9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субсидии из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Тульской области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4971,4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2015- 717,6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2016- 604,0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2017-1383,8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2018- 740,0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2019 -762,2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2020 -763,8 тыс. руб.</w:t>
            </w:r>
          </w:p>
        </w:tc>
      </w:tr>
      <w:tr w:rsidR="00CB46F7" w:rsidRPr="00DC4F37" w:rsidTr="00433041">
        <w:trPr>
          <w:cantSplit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лет, до 12%</w:t>
            </w:r>
          </w:p>
        </w:tc>
      </w:tr>
    </w:tbl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сферы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Художественно-эстетическое образование осуществляет МАОУ ДОД «АДШИ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МАУ ДО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аудио - и видеоматериалов, компьютеры и пр.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доступа населения района к получению дополнительного образования по отрасли «Культура и искусство».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 - сохранение и развитие системы дополнительного художественного образования в сфере культуры и искусства.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Реализация мероприятий подпрограммы позволит увеличить удельный вес детей, получающих услуги дополнительного образования в области искусств, в общей численности детей в возрасте 6 – 18 лет, до 11,8%.</w:t>
      </w: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2015-2019 годы.</w:t>
      </w:r>
    </w:p>
    <w:p w:rsidR="001052A7" w:rsidRPr="00DC4F37" w:rsidRDefault="001052A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системы дополнительного художественного образования в сфере культуры и искусства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МАУ ДО «Алексинская детская школа искусств им. К.М. Щедрина»; предоставление мер социальной поддержки педагогическим и иным работникам МАУ ДО «Алексинская детская школа искусств им. К.М. Щедрина»;</w:t>
      </w:r>
      <w:proofErr w:type="gram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проведение семинаров,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мастер - классов, участие в конкурсах, фестивалях, выставках; у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МАУ </w:t>
      </w:r>
      <w:proofErr w:type="gram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ДО</w:t>
      </w:r>
      <w:proofErr w:type="gram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</w:t>
      </w:r>
      <w:proofErr w:type="gram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Алексинская</w:t>
      </w:r>
      <w:proofErr w:type="gram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детская школа искусств им. К.М. Щедрина»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Перечень показателей результативности и эффективности реализации подпрограммы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80" w:type="dxa"/>
        <w:tblInd w:w="-5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4"/>
        <w:gridCol w:w="2146"/>
        <w:gridCol w:w="1877"/>
        <w:gridCol w:w="1207"/>
        <w:gridCol w:w="1073"/>
        <w:gridCol w:w="1073"/>
        <w:gridCol w:w="1073"/>
        <w:gridCol w:w="939"/>
        <w:gridCol w:w="939"/>
        <w:gridCol w:w="2719"/>
      </w:tblGrid>
      <w:tr w:rsidR="00CB46F7" w:rsidRPr="00DC4F37" w:rsidTr="00CB46F7">
        <w:trPr>
          <w:trHeight w:val="46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DC4F37" w:rsidTr="00CB46F7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CB46F7">
        <w:trPr>
          <w:trHeight w:val="269"/>
        </w:trPr>
        <w:tc>
          <w:tcPr>
            <w:tcW w:w="15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подпрограммы: обеспечение доступа населения района к получению дополнительного образования по отрасли 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«Культура и искусство»</w:t>
            </w:r>
          </w:p>
        </w:tc>
      </w:tr>
      <w:tr w:rsidR="00CB46F7" w:rsidRPr="00DC4F37" w:rsidTr="00CB46F7">
        <w:trPr>
          <w:cantSplit/>
          <w:trHeight w:val="4092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>Задача: сохранение и развитие системы дополнительного художественного образования в сфере культуры и искусства</w:t>
            </w:r>
            <w:r w:rsidR="005D0006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детей, получающих услуги дополнительного образования в области искусств, в общей численности детей в возрасте 6 – 18 лет (проценты) 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9%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10,7%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>
          <w:pgSz w:w="16838" w:h="11906" w:orient="landscape"/>
          <w:pgMar w:top="851" w:right="851" w:bottom="2269" w:left="1418" w:header="720" w:footer="709" w:gutter="0"/>
          <w:cols w:space="720"/>
        </w:sect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«Удельный вес детей, получающих услуги дополнительного образования в области искусств, в общей численности детей в возрасте 6 – 18 лет»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DC4F3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Хижняченко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Петр Викторович - директор МАУ ДО «АДШИ им. К.М. Щедрина» к.т. 4-02-40</w:t>
            </w:r>
          </w:p>
        </w:tc>
      </w:tr>
      <w:tr w:rsidR="00CB46F7" w:rsidRPr="00DC4F3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проценты </w:t>
            </w:r>
          </w:p>
        </w:tc>
      </w:tr>
      <w:tr w:rsidR="00CB46F7" w:rsidRPr="00DC4F3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B46F7">
        <w:trPr>
          <w:trHeight w:val="6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Ведомственная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статистика, форма 1-ДМШ (годовая) МАУ ДО «АДШИ им. К.М. Щедрина»</w:t>
            </w:r>
          </w:p>
        </w:tc>
      </w:tr>
      <w:tr w:rsidR="00CB46F7" w:rsidRPr="00DC4F3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Обработка информации 1 раз по итогам года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100%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КУШИ–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личество учащихся школы искусств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КДТО-количество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детей МО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5" w:tblpY="-1945"/>
        <w:tblW w:w="100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1276"/>
        <w:gridCol w:w="2695"/>
        <w:gridCol w:w="851"/>
        <w:gridCol w:w="709"/>
        <w:gridCol w:w="852"/>
        <w:gridCol w:w="993"/>
        <w:gridCol w:w="851"/>
        <w:gridCol w:w="852"/>
      </w:tblGrid>
      <w:tr w:rsidR="00CB46F7" w:rsidRPr="00DC4F37" w:rsidTr="005D0006">
        <w:trPr>
          <w:trHeight w:val="841"/>
          <w:tblHeader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</w:t>
            </w:r>
          </w:p>
        </w:tc>
      </w:tr>
      <w:tr w:rsidR="00CB46F7" w:rsidRPr="00DC4F37" w:rsidTr="00CB46F7">
        <w:trPr>
          <w:trHeight w:val="147"/>
          <w:tblHeader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DC4F37" w:rsidTr="00CB46F7">
        <w:trPr>
          <w:cantSplit/>
          <w:trHeight w:val="1134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Художественное образование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25802,7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</w:p>
        </w:tc>
      </w:tr>
      <w:tr w:rsidR="00CB46F7" w:rsidRPr="00DC4F37" w:rsidTr="00CB46F7">
        <w:trPr>
          <w:cantSplit/>
          <w:trHeight w:val="113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B46F7" w:rsidRPr="00DC4F37" w:rsidTr="00CB46F7">
        <w:trPr>
          <w:cantSplit/>
          <w:trHeight w:val="1149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</w:tbl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Социально-экономическая эффективность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 выразится в увеличении удельного веса детей, получающих услуги дополнительного образования в области искусств, в общей численности детей в возрасте 6 – 18 лет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 11,8%.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Управление реализацией подпрограммы и </w:t>
      </w:r>
      <w:proofErr w:type="gramStart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контроль за</w:t>
      </w:r>
      <w:proofErr w:type="gramEnd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ходом ее выполнения</w:t>
      </w:r>
      <w:r w:rsidR="005D00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«Художественное образование»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целевых показателей, которые обеспечат мониторинг ситуации в сфере дополнительного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образованияв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отрасли «Культура»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за оцениваемый период.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эффективности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будут сравниваться текущие значения целевых показателей,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определяемых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 основе анализа данных государственных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статистических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форм отчетности,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 установленными подпрограммой значениями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 2016 – 2018 год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«Библиотечное дело»</w:t>
      </w:r>
    </w:p>
    <w:p w:rsidR="00792885" w:rsidRPr="00DC4F37" w:rsidRDefault="00792885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301"/>
      </w:tblGrid>
      <w:tr w:rsidR="00CB46F7" w:rsidRPr="00DC4F37" w:rsidTr="005D0006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Библиотечное дело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5D0006">
        <w:trPr>
          <w:cantSplit/>
          <w:trHeight w:val="504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5D0006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5D0006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«ЦБС»,</w:t>
            </w:r>
          </w:p>
        </w:tc>
      </w:tr>
      <w:tr w:rsidR="00CB46F7" w:rsidRPr="00DC4F37" w:rsidTr="005D0006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DC4F37" w:rsidTr="005D0006">
        <w:trPr>
          <w:cantSplit/>
          <w:trHeight w:val="50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библиотечного дела</w:t>
            </w:r>
          </w:p>
        </w:tc>
      </w:tr>
      <w:tr w:rsidR="00CB46F7" w:rsidRPr="00DC4F37" w:rsidTr="005D0006">
        <w:trPr>
          <w:cantSplit/>
          <w:trHeight w:val="62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Объемы бюджетных ассигнований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119</w:t>
            </w:r>
            <w:r w:rsidR="00FB2A14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288,7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2015-14432,3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2016- 14676,8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2017- 19740,5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</w:t>
            </w:r>
            <w:r w:rsidR="00996C8D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23</w:t>
            </w:r>
            <w:r w:rsidR="00FB2A14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2019 - 23218,5тыс.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2020 - 23398,1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 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99714,7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2015-11196,9тыс.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2016-11768,7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2017- 16732,5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2018 -20218,4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2019 -19869,3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2020- 19928,9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194</w:t>
            </w:r>
            <w:r w:rsidR="00474E53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96,2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руб., в том числе по годам: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2015- 3214,4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2016- 2890,1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2017- 3008,0тыс.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2018- 35</w:t>
            </w:r>
            <w:r w:rsidR="00474E5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2019 -3349,2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2020- 3469,2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бюджета – </w:t>
            </w:r>
            <w:r w:rsidR="00665441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77,8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год – 21,0 тыс. руб.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год – 18,0 тыс. руб.</w:t>
            </w:r>
          </w:p>
          <w:p w:rsidR="00934BD0" w:rsidRPr="00DC4F37" w:rsidRDefault="00934BD0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год – 38,8 тыс. руб.</w:t>
            </w:r>
          </w:p>
        </w:tc>
      </w:tr>
      <w:tr w:rsidR="00CB46F7" w:rsidRPr="00DC4F37" w:rsidTr="005D0006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обновление библиотечного фонда до 2 %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библиотек до 120 на 1 тыс. человек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</w:tbl>
    <w:p w:rsidR="00AC0DD6" w:rsidRPr="00DC4F37" w:rsidRDefault="00AC0DD6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библиотечной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Библиотечное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досуговую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функции в обществе.</w:t>
      </w:r>
    </w:p>
    <w:p w:rsidR="00CB46F7" w:rsidRPr="00DC4F37" w:rsidRDefault="00CB46F7" w:rsidP="005D00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компьютеров.</w:t>
      </w: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DC4F37" w:rsidRDefault="00CB46F7" w:rsidP="00DC4F3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права граждан на свободный доступ к информации, хранящейся в библиотеках.</w:t>
      </w:r>
    </w:p>
    <w:p w:rsidR="00CB46F7" w:rsidRPr="00DC4F37" w:rsidRDefault="00CB46F7" w:rsidP="00DC4F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Задача подпрограммы - сохранение и развитие библиотечного дела.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обновление библиотечного фонда до 1,6 %; увеличить количество посещений библиотек в год до 105 на 1 тыс. человек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населения.</w:t>
      </w: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библиотечного дела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обеспечение деятельности (оказание услуг) МБУК «ЦБС»; укрепление материально-технической базы МБУК «ЦБС»; комплектование книжных фондов, подписка МБУК «ЦБС»;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предоставление мер социальной поддержки работникам муниципальных библиотек; оплата дополнительного отпуска работникам муниципальных библиотек (Закон Тульской области «О библиотечном деле»); иные межбюджетные трансферты на предоставление мер социальной поддержки работникам муниципальных библиотек; иные межбюджетные трансферты на оплату дополнительного отпуска работникам муниципальных библиотек (Закон Тульской области «О библиотечном деле»)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.П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>
          <w:pgSz w:w="11906" w:h="16838"/>
          <w:pgMar w:top="851" w:right="851" w:bottom="851" w:left="1418" w:header="720" w:footer="709" w:gutter="0"/>
          <w:cols w:space="720"/>
        </w:sect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39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7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985"/>
      </w:tblGrid>
      <w:tr w:rsidR="00CB46F7" w:rsidRPr="00DC4F37" w:rsidTr="00CB46F7">
        <w:trPr>
          <w:trHeight w:val="472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DC4F37" w:rsidTr="00CB46F7">
        <w:trPr>
          <w:trHeight w:val="1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CB46F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DC4F37" w:rsidTr="00CB46F7">
        <w:trPr>
          <w:cantSplit/>
          <w:trHeight w:val="3032"/>
        </w:trPr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обновление библиотечных фондов (процентов)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CB46F7" w:rsidRPr="00DC4F37" w:rsidTr="00CB46F7">
        <w:trPr>
          <w:cantSplit/>
          <w:trHeight w:val="303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библиотек в год до 105 на 1 тыс. человек населения (единицы)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>
          <w:pgSz w:w="16838" w:h="11906" w:orient="landscape"/>
          <w:pgMar w:top="1134" w:right="851" w:bottom="1134" w:left="1418" w:header="720" w:footer="709" w:gutter="0"/>
          <w:cols w:space="720"/>
        </w:sectPr>
      </w:pPr>
    </w:p>
    <w:p w:rsidR="00CB46F7" w:rsidRPr="00DC4F37" w:rsidRDefault="00CB46F7" w:rsidP="005D000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«Обновление библиотечных фондов»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88"/>
      </w:tblGrid>
      <w:tr w:rsidR="00CB46F7" w:rsidRPr="00DC4F3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6-76-74</w:t>
            </w:r>
          </w:p>
        </w:tc>
      </w:tr>
      <w:tr w:rsidR="00CB46F7" w:rsidRPr="00DC4F3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библиотечных фондов 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DC4F3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формируется путем суммирования данных на основании годовых отчетов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муниципальных библиотек,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DC4F3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подпрограммы по итогам года на основании отчетов библиотек</w:t>
            </w:r>
          </w:p>
        </w:tc>
      </w:tr>
    </w:tbl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библиотек в год на 1 тыс. человек</w:t>
      </w:r>
      <w:r w:rsidR="005D00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населения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958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DC4F3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6-76-74</w:t>
            </w:r>
          </w:p>
        </w:tc>
      </w:tr>
      <w:tr w:rsidR="00CB46F7" w:rsidRPr="00DC4F3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библиотек в год на 1 тыс. человек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  <w:tr w:rsidR="00CB46F7" w:rsidRPr="00DC4F3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человек </w:t>
            </w:r>
          </w:p>
        </w:tc>
      </w:tr>
      <w:tr w:rsidR="00CB46F7" w:rsidRPr="00DC4F3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библиотек в год на численность населения города и умножения результата на 1000, государственный статистический отчет, </w:t>
            </w:r>
            <w:hyperlink r:id="rId11" w:history="1">
              <w:r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DC4F3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библиотек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</w:t>
            </w:r>
            <w:proofErr w:type="spellEnd"/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=-------------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1000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Б-колоичество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посещений библиотек на 1000 жителей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общее количество посещений библиотек в год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41F18" w:rsidRPr="00DC4F37" w:rsidRDefault="00C41F18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41F18" w:rsidRPr="00DC4F37" w:rsidRDefault="00C41F18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578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0"/>
        <w:gridCol w:w="1560"/>
        <w:gridCol w:w="1983"/>
        <w:gridCol w:w="1134"/>
        <w:gridCol w:w="992"/>
        <w:gridCol w:w="993"/>
        <w:gridCol w:w="992"/>
        <w:gridCol w:w="992"/>
        <w:gridCol w:w="992"/>
      </w:tblGrid>
      <w:tr w:rsidR="00CB46F7" w:rsidRPr="00DC4F37" w:rsidTr="001052A7">
        <w:trPr>
          <w:trHeight w:val="478"/>
          <w:tblHeader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DC4F37" w:rsidTr="001052A7">
        <w:trPr>
          <w:trHeight w:val="147"/>
          <w:tblHeader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DC4F37" w:rsidTr="001052A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DC4F37" w:rsidTr="001052A7">
        <w:trPr>
          <w:cantSplit/>
          <w:trHeight w:val="134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5D0006" w:rsidP="00DC4F37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14 423,3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224D6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</w:t>
            </w:r>
          </w:p>
        </w:tc>
      </w:tr>
      <w:tr w:rsidR="00CB46F7" w:rsidRPr="00DC4F37" w:rsidTr="001052A7">
        <w:trPr>
          <w:cantSplit/>
          <w:trHeight w:val="11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224D6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B46F7" w:rsidRPr="00DC4F37" w:rsidTr="001052A7">
        <w:trPr>
          <w:cantSplit/>
          <w:trHeight w:val="11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B46F7" w:rsidRPr="00DC4F37" w:rsidTr="001052A7">
        <w:trPr>
          <w:cantSplit/>
          <w:trHeight w:val="113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224D6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DC4F37" w:rsidRDefault="00CB46F7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обновления фондов библиотек до 1,6 процентов; увеличении количества посещений библиотек в год на 1 тыс. человек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населения до 105.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</w:t>
      </w:r>
      <w:proofErr w:type="gramStart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в библиотечной отрасли за оцениваемый период.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2015 - 2020 годы.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41F18" w:rsidRPr="00DC4F37" w:rsidRDefault="00C41F18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«Музейное дело»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14" w:type="dxa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775"/>
      </w:tblGrid>
      <w:tr w:rsidR="00CB46F7" w:rsidRPr="00DC4F37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Музейное дело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C41F18">
        <w:trPr>
          <w:cantSplit/>
          <w:trHeight w:val="72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C41F18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конституционных прав граждан на доступ к культурным ценностям, хранящимся в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музее</w:t>
            </w:r>
          </w:p>
        </w:tc>
      </w:tr>
      <w:tr w:rsidR="00CB46F7" w:rsidRPr="00DC4F37" w:rsidTr="00C41F18">
        <w:trPr>
          <w:cantSplit/>
          <w:trHeight w:val="28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музейного дела </w:t>
            </w:r>
          </w:p>
        </w:tc>
      </w:tr>
      <w:tr w:rsidR="00CB46F7" w:rsidRPr="00DC4F37" w:rsidTr="00C41F18">
        <w:trPr>
          <w:cantSplit/>
          <w:trHeight w:val="52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</w:t>
            </w:r>
          </w:p>
        </w:tc>
      </w:tr>
      <w:tr w:rsidR="00CB46F7" w:rsidRPr="00DC4F37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 –2015 - 2020 годы</w:t>
            </w:r>
          </w:p>
        </w:tc>
      </w:tr>
      <w:tr w:rsidR="00CB46F7" w:rsidRPr="00DC4F37" w:rsidTr="00C41F18">
        <w:trPr>
          <w:cantSplit/>
          <w:trHeight w:val="6626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составляет - </w:t>
            </w:r>
            <w:r w:rsidR="00F96BA2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  <w:r w:rsidR="00967393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960,8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6826,4 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 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2017- 7949,2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2018- </w:t>
            </w:r>
            <w:r w:rsidR="00F96BA2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0030E1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900,0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2019 -9779,1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2020- 9849,3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города –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44</w:t>
            </w:r>
            <w:r w:rsidR="00967393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129,3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5735,8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2016- 5579,5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6905,5тыс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</w:t>
            </w:r>
            <w:r w:rsidR="0096739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8</w:t>
            </w:r>
            <w:r w:rsidR="0096739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688,2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2019 - 8596,3тыс.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2020-8624,0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 –</w:t>
            </w:r>
            <w:r w:rsidR="00F96BA2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12231,5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1090,6 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2016- 1077,3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2017- 1043,7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F96BA2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2019 - 1182,8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2020- 1225,3 тыс. руб.</w:t>
            </w:r>
          </w:p>
          <w:p w:rsidR="00F96BA2" w:rsidRPr="00DC4F37" w:rsidRDefault="00F96BA2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Средства Федерального бюджета </w:t>
            </w:r>
            <w:r w:rsidR="00F62DF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62DFE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14600,0</w:t>
            </w:r>
            <w:r w:rsidR="00F62DF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F62DFE" w:rsidRPr="00DC4F37" w:rsidRDefault="00F62DFE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14600,0 тыс. руб.</w:t>
            </w:r>
          </w:p>
        </w:tc>
      </w:tr>
      <w:tr w:rsidR="00CB46F7" w:rsidRPr="00DC4F37" w:rsidTr="00C41F18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до 25%</w:t>
            </w:r>
          </w:p>
          <w:p w:rsidR="00CB46F7" w:rsidRPr="00DC4F37" w:rsidRDefault="00CB46F7" w:rsidP="00DC4F3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до 10 предметов (единиц)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до 50%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музейной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показатели, основные проблемы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Музей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DC4F37" w:rsidRDefault="00CB46F7" w:rsidP="005D00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19 тыс. единиц хранения, ежегодное количество посетителей музея составляет около 9 тыс. чел. Отсутствие необходимых финансовых сре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дств сд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DC4F37" w:rsidRDefault="00CB46F7" w:rsidP="005D0006">
      <w:pPr>
        <w:tabs>
          <w:tab w:val="left" w:pos="600"/>
        </w:tabs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DC4F37" w:rsidRDefault="00CB46F7" w:rsidP="005D0006">
      <w:pPr>
        <w:tabs>
          <w:tab w:val="left" w:pos="600"/>
        </w:tabs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важно в условиях активного развития инновационной деятельности.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Цель: обеспечение конституционных прав граждан на доступ к культурным ценностям, хранящимся в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музее.</w:t>
      </w: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подпрограммы: сохранение и развитие музейного дела.</w:t>
      </w: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позволит:</w:t>
      </w:r>
    </w:p>
    <w:p w:rsidR="00CB46F7" w:rsidRPr="00DC4F37" w:rsidRDefault="00CB46F7" w:rsidP="005D0006">
      <w:pPr>
        <w:tabs>
          <w:tab w:val="left" w:pos="1006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увеличить количество посещений музея в год на 1 тыс. человек населения до 200 человек</w:t>
      </w:r>
    </w:p>
    <w:p w:rsidR="00CB46F7" w:rsidRPr="00DC4F37" w:rsidRDefault="00CB46F7" w:rsidP="005D0006">
      <w:pPr>
        <w:tabs>
          <w:tab w:val="left" w:pos="1006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экспонатов (предметов) основного и научно-вспомогательного фонда музея до 6 предметов (единиц)</w:t>
      </w:r>
    </w:p>
    <w:p w:rsidR="00CB46F7" w:rsidRPr="00DC4F37" w:rsidRDefault="00CB46F7" w:rsidP="005D00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- увеличить долю музейных предметов основного фонда, внесенных в электронный каталог (процентов) до 47%.</w:t>
      </w: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Этапы и сроки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музейного дела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«АХКМ»; у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МБУК «АХКМ»; социальная поддержка работников муниципального музея (</w:t>
      </w:r>
      <w:hyperlink r:id="rId12" w:history="1">
        <w:r w:rsidRPr="00DC4F37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Тульской области «О музеях и музейном деле»).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 w:rsidSect="005D0006">
          <w:pgSz w:w="11906" w:h="16838"/>
          <w:pgMar w:top="568" w:right="851" w:bottom="426" w:left="1134" w:header="720" w:footer="709" w:gutter="0"/>
          <w:cols w:space="720"/>
          <w:docGrid w:linePitch="299"/>
        </w:sect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66"/>
        <w:gridCol w:w="2693"/>
        <w:gridCol w:w="1701"/>
        <w:gridCol w:w="1276"/>
        <w:gridCol w:w="1134"/>
        <w:gridCol w:w="1418"/>
        <w:gridCol w:w="1134"/>
        <w:gridCol w:w="992"/>
        <w:gridCol w:w="992"/>
        <w:gridCol w:w="2410"/>
      </w:tblGrid>
      <w:tr w:rsidR="00CB46F7" w:rsidRPr="00DC4F37" w:rsidTr="00CB46F7">
        <w:trPr>
          <w:trHeight w:val="472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 действия подпрограммы</w:t>
            </w:r>
          </w:p>
        </w:tc>
      </w:tr>
      <w:tr w:rsidR="00CB46F7" w:rsidRPr="00DC4F37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CB46F7">
        <w:trPr>
          <w:trHeight w:val="274"/>
        </w:trPr>
        <w:tc>
          <w:tcPr>
            <w:tcW w:w="15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конституционных прав граждан на доступ к культурным ценностям, хранящимся в музее</w:t>
            </w:r>
          </w:p>
        </w:tc>
      </w:tr>
      <w:tr w:rsidR="00CB46F7" w:rsidRPr="00DC4F37" w:rsidTr="00CB46F7">
        <w:trPr>
          <w:cantSplit/>
          <w:trHeight w:val="2178"/>
        </w:trPr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музейного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(единиц)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</w:tr>
      <w:tr w:rsidR="00CB46F7" w:rsidRPr="00DC4F37" w:rsidTr="00CB46F7">
        <w:trPr>
          <w:cantSplit/>
          <w:trHeight w:val="239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(единицы)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DC4F37" w:rsidTr="00CB46F7">
        <w:trPr>
          <w:cantSplit/>
          <w:trHeight w:val="21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(проценты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DC4F37"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музея в год на 1 тыс. человек населения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DC4F37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DC4F37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DC4F37" w:rsidTr="00CB46F7">
        <w:trPr>
          <w:trHeight w:val="30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 населения</w:t>
            </w:r>
          </w:p>
        </w:tc>
      </w:tr>
      <w:tr w:rsidR="00CB46F7" w:rsidRPr="00DC4F37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DC4F37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DC4F37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музея в год на численность населения и умножения результата на 1000, государственный статистический отчет, </w:t>
            </w:r>
            <w:hyperlink r:id="rId13" w:history="1">
              <w:r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DC4F37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М=------------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1000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М-количество посещений музея на 1000 жителей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Пм-общее количество посещений музея в год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400938" w:rsidRPr="00DC4F37" w:rsidRDefault="00400938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00938" w:rsidRPr="00DC4F37" w:rsidRDefault="00400938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экспонатов (предметов) основного и научно-вспомогательного фонда музея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4"/>
        <w:gridCol w:w="5587"/>
      </w:tblGrid>
      <w:tr w:rsidR="00CB46F7" w:rsidRPr="00DC4F37" w:rsidTr="00CB46F7">
        <w:trPr>
          <w:trHeight w:val="11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DC4F37" w:rsidTr="00CB46F7">
        <w:trPr>
          <w:trHeight w:val="36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DC4F37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</w:t>
            </w:r>
          </w:p>
        </w:tc>
      </w:tr>
      <w:tr w:rsidR="00CB46F7" w:rsidRPr="00DC4F37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единицы </w:t>
            </w:r>
          </w:p>
        </w:tc>
      </w:tr>
      <w:tr w:rsidR="00CB46F7" w:rsidRPr="00DC4F37" w:rsidTr="00CB46F7">
        <w:trPr>
          <w:trHeight w:val="29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B46F7">
        <w:trPr>
          <w:trHeight w:val="9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экспонатов берутся из отчетов музея, государственный статистический отчет, </w:t>
            </w:r>
            <w:hyperlink r:id="rId14" w:history="1">
              <w:r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DC4F37" w:rsidTr="00CB46F7">
        <w:trPr>
          <w:trHeight w:val="38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DC4F37" w:rsidRDefault="00CB46F7" w:rsidP="00DC4F3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«Доля музейных предметов основного фонда, внесенных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в электронный каталог»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84"/>
        <w:gridCol w:w="5613"/>
      </w:tblGrid>
      <w:tr w:rsidR="00CB46F7" w:rsidRPr="00DC4F37" w:rsidTr="00CB46F7">
        <w:trPr>
          <w:trHeight w:val="109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DC4F37" w:rsidTr="00CB46F7">
        <w:trPr>
          <w:trHeight w:val="36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CB46F7" w:rsidRPr="00DC4F37" w:rsidTr="00CB46F7">
        <w:trPr>
          <w:trHeight w:val="49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доля музейных предметов основного фонда, внесенных в электронный каталог </w:t>
            </w:r>
          </w:p>
        </w:tc>
      </w:tr>
      <w:tr w:rsidR="00CB46F7" w:rsidRPr="00DC4F37" w:rsidTr="00CB46F7">
        <w:trPr>
          <w:trHeight w:val="30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DC4F37" w:rsidTr="00CB46F7">
        <w:trPr>
          <w:trHeight w:val="289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DC4F37" w:rsidTr="00CB46F7">
        <w:trPr>
          <w:trHeight w:val="7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берутся на основании годовых отчетов музея, в котором ведется каталог в электронном виде, </w:t>
            </w:r>
            <w:hyperlink r:id="rId15" w:history="1">
              <w:r w:rsidRPr="00DC4F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DC4F37" w:rsidTr="00CB46F7">
        <w:trPr>
          <w:trHeight w:val="45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58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558"/>
        <w:gridCol w:w="1985"/>
        <w:gridCol w:w="1134"/>
        <w:gridCol w:w="993"/>
        <w:gridCol w:w="992"/>
        <w:gridCol w:w="992"/>
        <w:gridCol w:w="992"/>
        <w:gridCol w:w="992"/>
      </w:tblGrid>
      <w:tr w:rsidR="00CB46F7" w:rsidRPr="00DC4F37" w:rsidTr="001052A7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DC4F37" w:rsidTr="001052A7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DC4F37" w:rsidTr="001052A7">
        <w:trPr>
          <w:trHeight w:val="2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6466EE" w:rsidRPr="00DC4F37" w:rsidTr="001052A7">
        <w:trPr>
          <w:cantSplit/>
          <w:trHeight w:val="132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466E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8752E5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</w:p>
        </w:tc>
      </w:tr>
      <w:tr w:rsidR="006466EE" w:rsidRPr="00DC4F37" w:rsidTr="001052A7">
        <w:trPr>
          <w:cantSplit/>
          <w:trHeight w:val="11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DC4F37" w:rsidRDefault="005D0006" w:rsidP="00DC4F3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466E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1A3332" w:rsidP="00DC4F3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6466EE" w:rsidRPr="00DC4F37" w:rsidTr="001052A7">
        <w:trPr>
          <w:cantSplit/>
          <w:trHeight w:val="9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DC4F37" w:rsidRDefault="008752E5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6466EE" w:rsidRPr="00DC4F37" w:rsidTr="001052A7">
        <w:trPr>
          <w:cantSplit/>
          <w:trHeight w:val="1101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DC4F37" w:rsidRDefault="006466EE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66EE" w:rsidRPr="00DC4F37" w:rsidRDefault="00BA751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DC4F37" w:rsidRDefault="00BA751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DC4F37" w:rsidRDefault="006466EE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EF6CA7" w:rsidRPr="00DC4F37" w:rsidRDefault="00EF6CA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EF6CA7" w:rsidRPr="00DC4F37" w:rsidRDefault="00EF6CA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DC4F37" w:rsidRDefault="00CB46F7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</w:t>
      </w: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музея в год на 1 тыс. человек населения до 200человек (единиц)</w:t>
      </w: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экспонатов (предметов) основного и научно-вспомогательного фонда музея до 6 предметов (единиц)</w:t>
      </w:r>
    </w:p>
    <w:p w:rsidR="00CB46F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доли музейных предметов основного фонда, внесенных в электронный каталог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 47%.</w:t>
      </w:r>
    </w:p>
    <w:p w:rsidR="001052A7" w:rsidRPr="00DC4F37" w:rsidRDefault="001052A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1052A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 и </w:t>
      </w:r>
      <w:proofErr w:type="gramStart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выполнения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подпрограммы, осуществляет мониторинг и контрол</w:t>
      </w:r>
      <w:r w:rsidR="00A25CD4" w:rsidRPr="00DC4F37">
        <w:rPr>
          <w:rFonts w:ascii="Arial" w:eastAsia="Times New Roman" w:hAnsi="Arial" w:cs="Arial"/>
          <w:sz w:val="24"/>
          <w:szCs w:val="24"/>
          <w:lang w:eastAsia="zh-CN"/>
        </w:rPr>
        <w:t>ь за реализацией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25CD4"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871B2E" w:rsidRPr="00DC4F37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F45C1E" w:rsidRPr="00DC4F37" w:rsidRDefault="00F45C1E" w:rsidP="00DC4F3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«Сохранение и развитие учреждений клубного типа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 культурно - </w:t>
      </w:r>
      <w:proofErr w:type="spellStart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досугового</w:t>
      </w:r>
      <w:proofErr w:type="spellEnd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центра»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DC4F37" w:rsidRDefault="00CB46F7" w:rsidP="00DC4F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3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303"/>
      </w:tblGrid>
      <w:tr w:rsidR="00CB46F7" w:rsidRPr="00DC4F37" w:rsidTr="005D0006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учреждений клубного типа и культурно -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5D0006">
        <w:trPr>
          <w:cantSplit/>
          <w:trHeight w:val="46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DC4F37" w:rsidTr="005D0006">
        <w:trPr>
          <w:cantSplit/>
          <w:trHeight w:val="41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5D0006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</w:tr>
      <w:tr w:rsidR="00CB46F7" w:rsidRPr="00DC4F37" w:rsidTr="005D0006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престижа учреждений культуры и их культурной деятельности </w:t>
            </w:r>
          </w:p>
        </w:tc>
      </w:tr>
      <w:tr w:rsidR="00CB46F7" w:rsidRPr="00DC4F37" w:rsidTr="005D0006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доступа населения к услугам учреждений клубного типа, культурно -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 и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</w:tr>
      <w:tr w:rsidR="00CB46F7" w:rsidRPr="00DC4F37" w:rsidTr="005D0006">
        <w:trPr>
          <w:cantSplit/>
          <w:trHeight w:val="52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3B0" w:rsidRPr="00DC4F37" w:rsidRDefault="003013B0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культурно -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для населения (единиц) </w:t>
            </w:r>
          </w:p>
          <w:p w:rsidR="003013B0" w:rsidRPr="00DC4F37" w:rsidRDefault="003013B0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</w:t>
            </w:r>
          </w:p>
          <w:p w:rsidR="00CB46F7" w:rsidRPr="00DC4F37" w:rsidRDefault="003013B0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Средняя численность участников клубных формирований (единиц)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этап: 2015 - 2020 годы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74216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</w:t>
            </w:r>
            <w:r w:rsidR="003739C9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475,9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2015-18 367,0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2016- 16405,8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2017- 47117,7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</w:t>
            </w:r>
            <w:r w:rsidR="000A531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C74216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32</w:t>
            </w:r>
            <w:r w:rsidR="000A531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590,9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2019 - 25440,6тыс.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2020 - 25553,9 тыс. руб.</w:t>
            </w:r>
          </w:p>
        </w:tc>
      </w:tr>
      <w:tr w:rsidR="00CB46F7" w:rsidRPr="00DC4F37" w:rsidTr="001052A7">
        <w:trPr>
          <w:cantSplit/>
          <w:trHeight w:val="2253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</w:t>
            </w:r>
            <w:r w:rsidR="00F258E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-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</w:t>
            </w:r>
            <w:r w:rsidR="00763B6F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  <w:r w:rsidR="00F258EE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449,3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17 022,5тыс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2016 - 14870,9тыс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22948,3тыс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</w:t>
            </w:r>
            <w:r w:rsidR="00F258E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102,9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23713,0тыс.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23791,7 тыс. руб.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="00744B96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22499,8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13007,6тыс.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380AB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</w:t>
            </w:r>
            <w:r w:rsidR="00BB6846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3,0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 тыс. руб.</w:t>
            </w:r>
          </w:p>
        </w:tc>
      </w:tr>
      <w:tr w:rsidR="00CB46F7" w:rsidRPr="00DC4F37" w:rsidTr="005D0006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 бюджета -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</w:t>
            </w:r>
            <w:r w:rsidR="00F062A0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526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11161,8 тыс. руб.</w:t>
            </w:r>
          </w:p>
          <w:p w:rsidR="00F062A0" w:rsidRPr="00DC4F37" w:rsidRDefault="00F062A0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365,0 тыс. руб.</w:t>
            </w:r>
          </w:p>
        </w:tc>
      </w:tr>
      <w:tr w:rsidR="00CB46F7" w:rsidRPr="00DC4F37" w:rsidTr="005D0006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культурно -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населения, до</w:t>
            </w:r>
            <w:r w:rsidR="00EA687C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62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(единиц)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 100 человек (единиц)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F37">
        <w:rPr>
          <w:rFonts w:ascii="Arial" w:eastAsia="Times New Roman" w:hAnsi="Arial" w:cs="Arial"/>
          <w:sz w:val="24"/>
          <w:szCs w:val="24"/>
          <w:lang w:eastAsia="ru-RU"/>
        </w:rPr>
        <w:t>МБУК «РДК» координирует деятельность и является методическим центром для муниципальных учреждений культуры клубного типа на селе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5D0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DC4F37" w:rsidRDefault="00CB46F7" w:rsidP="005D00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МБУ «КДЦ»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DC4F37" w:rsidRDefault="00CB46F7" w:rsidP="005D0006">
      <w:pPr>
        <w:shd w:val="clear" w:color="auto" w:fill="FFFFFF"/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DC4F37" w:rsidRDefault="00CB46F7" w:rsidP="005D0006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Цели и задачи подпрограммы, прогноз развития и прогноз конечных результатов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повышение престижа учреждений культуры и их культурной деятельности.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Для достижения поставленной цели будут решаться следующие задачи: обеспечение доступа населения к услугам учреждений клубного типа, культурно -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центра 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мероприятий подпрограммы позволит увеличить количество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мероприятий, проведенных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для населения до </w:t>
      </w:r>
      <w:r w:rsidR="0082790D" w:rsidRPr="00DC4F37">
        <w:rPr>
          <w:rFonts w:ascii="Arial" w:eastAsia="Times New Roman" w:hAnsi="Arial" w:cs="Arial"/>
          <w:sz w:val="24"/>
          <w:szCs w:val="24"/>
          <w:lang w:eastAsia="zh-CN"/>
        </w:rPr>
        <w:t>62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; увеличить количество участников международных,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 100 человек.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Обеспечение доступа населения к услугам учреждений клубного типа, культурно -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центра и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«РДК»; обеспечение деятельности (оказание услуг) МБУ «КДЦ»; укрепление материально-технической базы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МБУ «КДЦ»; обеспечение деятельности (оказание услуг) МКУК «</w:t>
      </w:r>
      <w:proofErr w:type="spell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Авангардский</w:t>
      </w:r>
      <w:proofErr w:type="spell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 обеспечение деятельности (оказание услуг) МКУК «</w:t>
      </w:r>
      <w:proofErr w:type="spell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Буныревский</w:t>
      </w:r>
      <w:proofErr w:type="spell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</w:t>
      </w:r>
      <w:proofErr w:type="gram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обеспечение деятельности (оказание услуг) МКУК «</w:t>
      </w:r>
      <w:proofErr w:type="spell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Шелепинский</w:t>
      </w:r>
      <w:proofErr w:type="spell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 развитие традиционного народного творчества.</w:t>
      </w:r>
      <w:r w:rsidR="005D000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DC4F37" w:rsidSect="005D0006">
          <w:pgSz w:w="11906" w:h="16838"/>
          <w:pgMar w:top="851" w:right="851" w:bottom="709" w:left="1134" w:header="709" w:footer="709" w:gutter="0"/>
          <w:cols w:space="720"/>
          <w:docGrid w:linePitch="299"/>
        </w:sectPr>
      </w:pPr>
    </w:p>
    <w:p w:rsidR="00B24BAC" w:rsidRPr="00DC4F37" w:rsidRDefault="00B24BAC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C10B3" w:rsidRPr="00DC4F37" w:rsidRDefault="004C10B3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4C10B3" w:rsidRPr="00DC4F37" w:rsidRDefault="004C10B3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542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24"/>
        <w:gridCol w:w="3119"/>
        <w:gridCol w:w="2268"/>
        <w:gridCol w:w="1276"/>
        <w:gridCol w:w="1134"/>
        <w:gridCol w:w="1134"/>
        <w:gridCol w:w="1275"/>
        <w:gridCol w:w="1276"/>
        <w:gridCol w:w="1276"/>
        <w:gridCol w:w="1560"/>
      </w:tblGrid>
      <w:tr w:rsidR="004C10B3" w:rsidRPr="00DC4F37" w:rsidTr="001052A7">
        <w:trPr>
          <w:trHeight w:val="472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Плановые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значения на 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4C10B3" w:rsidRPr="00DC4F37" w:rsidTr="001052A7">
        <w:trPr>
          <w:trHeight w:val="146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DC4F37" w:rsidRDefault="004C10B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DC4F37" w:rsidRDefault="004C10B3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DC4F37" w:rsidRDefault="004C10B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0B3" w:rsidRPr="00DC4F37" w:rsidRDefault="004C10B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C10B3" w:rsidRPr="00DC4F37" w:rsidTr="001052A7">
        <w:trPr>
          <w:trHeight w:val="2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повышение престижа учреждений культуры и их культурной деятельности</w:t>
            </w:r>
          </w:p>
        </w:tc>
      </w:tr>
      <w:tr w:rsidR="004C10B3" w:rsidRPr="00DC4F37" w:rsidTr="001052A7">
        <w:trPr>
          <w:cantSplit/>
          <w:trHeight w:val="2469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Задача: обеспечение доступа населения к услугам учреждений клубного типа, культурно -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 и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мероприятий, проведенных для населения (единиц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82790D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82790D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DC4F37" w:rsidRDefault="0082790D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DC4F37" w:rsidRDefault="0082790D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</w:tr>
      <w:tr w:rsidR="004C10B3" w:rsidRPr="00DC4F37" w:rsidTr="001052A7">
        <w:trPr>
          <w:cantSplit/>
          <w:trHeight w:val="3439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DC4F37" w:rsidRDefault="004C10B3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участников международных,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всероссийских, зональных, региональных конкурсов (единиц)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0B3" w:rsidRPr="00DC4F37" w:rsidRDefault="004C10B3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DC4F37" w:rsidSect="00B24BAC">
          <w:pgSz w:w="16838" w:h="11906" w:orient="landscape"/>
          <w:pgMar w:top="426" w:right="851" w:bottom="851" w:left="851" w:header="709" w:footer="709" w:gutter="0"/>
          <w:cols w:space="720"/>
        </w:sectPr>
      </w:pPr>
    </w:p>
    <w:p w:rsidR="009F1DAD" w:rsidRPr="00DC4F37" w:rsidRDefault="009F1DAD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9F1DAD" w:rsidRPr="00DC4F37" w:rsidRDefault="009F1DAD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«Количество </w:t>
      </w:r>
      <w:proofErr w:type="spellStart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мероприятий,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проведенных для населения»</w:t>
      </w:r>
    </w:p>
    <w:p w:rsidR="009F1DAD" w:rsidRPr="00DC4F37" w:rsidRDefault="009F1DAD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24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9F1DAD" w:rsidRPr="00DC4F37" w:rsidTr="005D0006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DC4F37" w:rsidTr="005D0006">
        <w:trPr>
          <w:trHeight w:val="1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9F1DAD" w:rsidRPr="00DC4F37" w:rsidTr="005D0006">
        <w:trPr>
          <w:trHeight w:val="5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 для населения</w:t>
            </w:r>
          </w:p>
        </w:tc>
      </w:tr>
      <w:tr w:rsidR="009F1DAD" w:rsidRPr="00DC4F37" w:rsidTr="005D0006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DC4F37" w:rsidTr="005D0006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DC4F37" w:rsidTr="005D0006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 для населения, берутся из сводных годовых отчетов районного Дома культуры,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F1DAD" w:rsidRPr="00DC4F37" w:rsidTr="005D0006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Мониторинг осуществляется заказчиком программы по итогам года на основании отчетов районного Дома культуры,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DC4F37" w:rsidRDefault="009F1DAD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DC4F37" w:rsidRDefault="009F1DAD" w:rsidP="00DC4F3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DC4F37" w:rsidRDefault="009F1DAD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всероссийских, зональных, региональных конкурсов»</w:t>
      </w:r>
    </w:p>
    <w:p w:rsidR="009F1DAD" w:rsidRPr="00DC4F37" w:rsidRDefault="009F1DAD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25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2"/>
        <w:gridCol w:w="5823"/>
      </w:tblGrid>
      <w:tr w:rsidR="009F1DAD" w:rsidRPr="00DC4F37" w:rsidTr="005D0006">
        <w:trPr>
          <w:trHeight w:val="107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DC4F37" w:rsidTr="005D0006">
        <w:trPr>
          <w:trHeight w:val="167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9F1DAD" w:rsidRPr="00DC4F37" w:rsidTr="005D0006">
        <w:trPr>
          <w:trHeight w:val="533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Количество участников международных,</w:t>
            </w:r>
            <w:r w:rsidR="005D0006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>всероссийских, зональных, региональных конкурсов</w:t>
            </w:r>
          </w:p>
        </w:tc>
      </w:tr>
      <w:tr w:rsidR="009F1DAD" w:rsidRPr="00DC4F37" w:rsidTr="005D0006">
        <w:trPr>
          <w:trHeight w:val="284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DC4F37" w:rsidTr="005D0006">
        <w:trPr>
          <w:trHeight w:val="26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DC4F37" w:rsidTr="005D0006">
        <w:trPr>
          <w:trHeight w:val="89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Данные о количестве участников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международных, всероссийских, зональных и региональных конкурсов берутся из отчетов районного Дома культуры,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МАОУ ДОД «АДШИ им. К.М. Щедрина» </w:t>
            </w:r>
          </w:p>
        </w:tc>
      </w:tr>
      <w:tr w:rsidR="009F1DAD" w:rsidRPr="00DC4F37" w:rsidTr="005D0006">
        <w:trPr>
          <w:trHeight w:val="45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DC4F37" w:rsidRDefault="009F1DAD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DC4F37" w:rsidRDefault="009F1DAD" w:rsidP="00DC4F3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DC4F37" w:rsidRDefault="009F1DAD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 всероссийских, зональных, региональных конкурсов»</w:t>
      </w:r>
    </w:p>
    <w:p w:rsidR="009F1DAD" w:rsidRPr="00DC4F37" w:rsidRDefault="009F1DAD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24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2"/>
        <w:gridCol w:w="5823"/>
      </w:tblGrid>
      <w:tr w:rsidR="009F1DAD" w:rsidRPr="00DC4F37" w:rsidTr="005D0006">
        <w:trPr>
          <w:trHeight w:val="107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Исполнитель, ответственный за формирование показателя (контактная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DC4F37" w:rsidTr="005D0006">
        <w:trPr>
          <w:trHeight w:val="167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9F1DAD" w:rsidRPr="00DC4F37" w:rsidTr="005D0006">
        <w:trPr>
          <w:trHeight w:val="533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Средняя численность участников клубных формирований </w:t>
            </w:r>
          </w:p>
        </w:tc>
      </w:tr>
      <w:tr w:rsidR="009F1DAD" w:rsidRPr="00DC4F37" w:rsidTr="005D0006">
        <w:trPr>
          <w:trHeight w:val="284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DC4F37" w:rsidTr="005D0006">
        <w:trPr>
          <w:trHeight w:val="26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DC4F37" w:rsidTr="005D0006">
        <w:trPr>
          <w:trHeight w:val="89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Данные о средней численности участников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клубних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формирований берутся из муниципальных зданий районного Дома культуры,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МАОУ ДОД «АДШИ им. К.М. Щедрина»</w:t>
            </w:r>
          </w:p>
        </w:tc>
      </w:tr>
      <w:tr w:rsidR="009F1DAD" w:rsidRPr="00DC4F37" w:rsidTr="005D0006">
        <w:trPr>
          <w:trHeight w:val="45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DC4F37" w:rsidRDefault="009F1DAD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DC4F37" w:rsidRDefault="009F1DAD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Ресурсное обеспечение подпрограммы 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58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558"/>
        <w:gridCol w:w="2127"/>
        <w:gridCol w:w="992"/>
        <w:gridCol w:w="993"/>
        <w:gridCol w:w="992"/>
        <w:gridCol w:w="992"/>
        <w:gridCol w:w="992"/>
        <w:gridCol w:w="992"/>
      </w:tblGrid>
      <w:tr w:rsidR="00CB46F7" w:rsidRPr="00DC4F37" w:rsidTr="001052A7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DC4F37" w:rsidTr="001052A7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DC4F37" w:rsidTr="001052A7">
        <w:trPr>
          <w:trHeight w:val="25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DC4F37" w:rsidTr="001052A7">
        <w:trPr>
          <w:cantSplit/>
          <w:trHeight w:val="130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Сохранение и развитие учреждений клубного типа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18367,0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9C3B11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</w:t>
            </w:r>
          </w:p>
        </w:tc>
      </w:tr>
      <w:tr w:rsidR="00CB46F7" w:rsidRPr="00DC4F37" w:rsidTr="001052A7">
        <w:trPr>
          <w:cantSplit/>
          <w:trHeight w:val="1134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9C3B11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B46F7" w:rsidRPr="00DC4F37" w:rsidTr="001052A7">
        <w:trPr>
          <w:cantSplit/>
          <w:trHeight w:val="184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9C3B11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8E3CD2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B46F7" w:rsidRPr="00DC4F37" w:rsidTr="001052A7">
        <w:trPr>
          <w:cantSplit/>
          <w:trHeight w:val="184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CB46F7" w:rsidP="00DC4F3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BB6DB8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DC4F37" w:rsidRDefault="00CB46F7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количества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мероприятий, проведенных для населения и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увеличении участников международных, всероссийских, зональных и региональных творческих фестивалей и конкурсов.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</w:t>
      </w:r>
      <w:proofErr w:type="gramStart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«Сохранение и развитие учреждений клубного типа и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культурно-досугового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центра» будет ежегодно производиться на основе использования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«Проведение праздничных, торжественных, юбилейных, культурно-массовых и </w:t>
      </w:r>
      <w:proofErr w:type="spellStart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мероприятий для населения»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35"/>
        <w:gridCol w:w="6303"/>
      </w:tblGrid>
      <w:tr w:rsidR="00CB46F7" w:rsidRPr="00DC4F37" w:rsidTr="001052A7">
        <w:trPr>
          <w:cantSplit/>
          <w:trHeight w:val="4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праздничных, торжественных, юбилейных, культурно-массовых и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для населения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DC4F37" w:rsidTr="001052A7">
        <w:trPr>
          <w:cantSplit/>
          <w:trHeight w:val="72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</w:tr>
      <w:tr w:rsidR="00CB46F7" w:rsidRPr="00DC4F37" w:rsidTr="001052A7">
        <w:trPr>
          <w:cantSplit/>
          <w:trHeight w:val="452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1052A7">
        <w:trPr>
          <w:cantSplit/>
          <w:trHeight w:val="452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«КДЦ», МБУК «ЦБС»,</w:t>
            </w:r>
          </w:p>
        </w:tc>
      </w:tr>
      <w:tr w:rsidR="00CB46F7" w:rsidRPr="00DC4F37" w:rsidTr="001052A7">
        <w:trPr>
          <w:cantSplit/>
          <w:trHeight w:val="578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свободы творчества и прав граждан на участие в культурной жизни </w:t>
            </w:r>
          </w:p>
        </w:tc>
      </w:tr>
      <w:tr w:rsidR="00CB46F7" w:rsidRPr="00DC4F37" w:rsidTr="001052A7">
        <w:trPr>
          <w:cantSplit/>
          <w:trHeight w:val="50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деятельности, организация свободного времени населения</w:t>
            </w:r>
          </w:p>
        </w:tc>
      </w:tr>
      <w:tr w:rsidR="00CB46F7" w:rsidRPr="00DC4F37" w:rsidTr="001052A7">
        <w:trPr>
          <w:cantSplit/>
          <w:trHeight w:val="552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 (проценты)</w:t>
            </w:r>
          </w:p>
        </w:tc>
      </w:tr>
      <w:tr w:rsidR="00CB46F7" w:rsidRPr="00DC4F37" w:rsidTr="001052A7">
        <w:trPr>
          <w:cantSplit/>
          <w:trHeight w:val="48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 –2015 - 2020 годы</w:t>
            </w:r>
          </w:p>
        </w:tc>
      </w:tr>
      <w:tr w:rsidR="00CB46F7" w:rsidRPr="00DC4F37" w:rsidTr="001052A7">
        <w:trPr>
          <w:cantSplit/>
          <w:trHeight w:val="2400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Объемы бюджетных ассигнований подпрограммы 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2015–1020,0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2016–1985,0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2017–1000,0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2018 -470,0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2019 -300,0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2020- 300,0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города 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3575,0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1020,0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985,0 тыс. руб.</w:t>
            </w:r>
          </w:p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DC4F37" w:rsidRDefault="00CB46F7" w:rsidP="00DC4F3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470,0 тыс. руб.</w:t>
            </w:r>
          </w:p>
          <w:p w:rsidR="00CB46F7" w:rsidRPr="00DC4F37" w:rsidRDefault="00CB46F7" w:rsidP="00DC4F3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300,0 тыс. руб.</w:t>
            </w:r>
          </w:p>
          <w:p w:rsidR="00CB46F7" w:rsidRPr="00DC4F37" w:rsidRDefault="00CB46F7" w:rsidP="00DC4F3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- 300,0 тыс. руб.</w:t>
            </w:r>
          </w:p>
          <w:p w:rsidR="00CB46F7" w:rsidRPr="00DC4F37" w:rsidRDefault="00CB46F7" w:rsidP="00DC4F3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Тульской области –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1500,0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:</w:t>
            </w:r>
            <w:proofErr w:type="gramEnd"/>
          </w:p>
          <w:p w:rsidR="00CB46F7" w:rsidRPr="00DC4F37" w:rsidRDefault="00CB46F7" w:rsidP="00DC4F3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2016- 1000,0 тыс. руб.</w:t>
            </w:r>
          </w:p>
          <w:p w:rsidR="00CB46F7" w:rsidRPr="00DC4F37" w:rsidRDefault="00CB46F7" w:rsidP="005D0006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 тыс. руб.</w:t>
            </w:r>
          </w:p>
        </w:tc>
      </w:tr>
      <w:tr w:rsidR="00CB46F7" w:rsidRPr="00DC4F37" w:rsidTr="001052A7">
        <w:trPr>
          <w:cantSplit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увеличить удельный вес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 50% 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DC4F37" w:rsidRDefault="00CB46F7" w:rsidP="00DC4F3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объединений, продолжение работы по созданию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условий для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развития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народного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творчества, культурно-массовых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форм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досуга населения.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DC4F37" w:rsidRDefault="00CB46F7" w:rsidP="00DC4F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2015 год в России объявлен Годом литературы, 2016 год - год Кино в связи, с чем Программой предусмотрен перечень мероприятий, посвящённых этим знаменательным датам.</w:t>
      </w:r>
      <w:proofErr w:type="gramEnd"/>
    </w:p>
    <w:p w:rsidR="00CB46F7" w:rsidRPr="00DC4F37" w:rsidRDefault="00CB46F7" w:rsidP="005D000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подпрограммы позволит </w:t>
      </w:r>
      <w:r w:rsidRPr="00DC4F37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организовать рациональный и содержательный досуг граждан, удовлетворение и развитие их культурных потребностей в рамках свободного времени,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сохранить культурный потенциал. Мероприятия подпрограммы направлены на развитие художественно-эстетического, нравственного и патриотического воспитания широких слоёв населения, повышения качества их жизни.</w:t>
      </w:r>
    </w:p>
    <w:p w:rsidR="00CB46F7" w:rsidRPr="00DC4F37" w:rsidRDefault="00CB46F7" w:rsidP="00DC4F3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Цели и задачи подпрограммы, прогноз развития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прогноз конечных результатов подпрограммы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обеспечение свободы творчества и прав граждан на участие в культурной жизни.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Для достижения поставленной цели будет решаться следующая задача: развитие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деятельности, организация свободного времени населения.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увеличить удельный вес населения, участвующего в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 до 50 процентов.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Этапы и сроки реализации подпрограммы 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DC4F37" w:rsidRDefault="00CB46F7" w:rsidP="00DC4F3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DC4F37" w:rsidRDefault="00CB46F7" w:rsidP="00DC4F37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Развитие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деятельности, организация свободного времени населения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проведение праздничных, торжественных, юбилейных, культурно-массовых и </w:t>
      </w:r>
      <w:proofErr w:type="spellStart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мероприятий для населения.</w:t>
      </w:r>
    </w:p>
    <w:p w:rsidR="00CB46F7" w:rsidRPr="00DC4F37" w:rsidRDefault="00CB46F7" w:rsidP="00DC4F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DC4F37" w:rsidSect="005D0006">
          <w:pgSz w:w="11906" w:h="16838"/>
          <w:pgMar w:top="284" w:right="851" w:bottom="709" w:left="1134" w:header="709" w:footer="709" w:gutter="0"/>
          <w:cols w:space="720"/>
        </w:sect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1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1"/>
        <w:gridCol w:w="2125"/>
        <w:gridCol w:w="1846"/>
        <w:gridCol w:w="1418"/>
        <w:gridCol w:w="1276"/>
        <w:gridCol w:w="1134"/>
        <w:gridCol w:w="1134"/>
        <w:gridCol w:w="1134"/>
        <w:gridCol w:w="1275"/>
        <w:gridCol w:w="1842"/>
      </w:tblGrid>
      <w:tr w:rsidR="00CB46F7" w:rsidRPr="00DC4F37" w:rsidTr="001052A7">
        <w:trPr>
          <w:trHeight w:val="47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1052A7">
            <w:pPr>
              <w:suppressAutoHyphens/>
              <w:autoSpaceDE w:val="0"/>
              <w:spacing w:after="0" w:line="240" w:lineRule="auto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DC4F37" w:rsidTr="001052A7">
        <w:trPr>
          <w:trHeight w:val="14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DC4F37" w:rsidTr="001052A7">
        <w:trPr>
          <w:trHeight w:val="274"/>
        </w:trPr>
        <w:tc>
          <w:tcPr>
            <w:tcW w:w="15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свободы творчества и прав граждан на участие в культурной жизни</w:t>
            </w:r>
          </w:p>
        </w:tc>
      </w:tr>
      <w:tr w:rsidR="00CB46F7" w:rsidRPr="00DC4F37" w:rsidTr="001052A7">
        <w:trPr>
          <w:cantSplit/>
          <w:trHeight w:val="3888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деятельности, организация свободного времени населения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мероприятиях (процентов)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DC4F37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Ресурсное обеспечение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2127"/>
        <w:gridCol w:w="1843"/>
        <w:gridCol w:w="850"/>
        <w:gridCol w:w="993"/>
        <w:gridCol w:w="992"/>
        <w:gridCol w:w="900"/>
        <w:gridCol w:w="851"/>
        <w:gridCol w:w="992"/>
      </w:tblGrid>
      <w:tr w:rsidR="00CB46F7" w:rsidRPr="00DC4F37" w:rsidTr="005D0006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DC4F37" w:rsidTr="005D0006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DC4F37" w:rsidTr="005D0006">
        <w:trPr>
          <w:trHeight w:val="38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DC4F37" w:rsidTr="005D0006">
        <w:trPr>
          <w:cantSplit/>
          <w:trHeight w:val="1360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Проведение праздничных, торжественных, юбилейных, культурно-массовых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мероприятий для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DC4F37" w:rsidTr="005D0006">
        <w:trPr>
          <w:cantSplit/>
          <w:trHeight w:val="1134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DC4F37" w:rsidTr="005D0006">
        <w:trPr>
          <w:cantSplit/>
          <w:trHeight w:val="1409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DC4F37" w:rsidRDefault="00CB46F7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удельного веса населения, участвующего в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и </w:t>
      </w:r>
      <w:proofErr w:type="gramStart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решения по их минимизации.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Оценка эффективности подпрограммы «Проведение праздничных, торжественных, юбилейных, культурно-массовых и 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для населения» будет ежегодно производиться на основе использования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Удельный вес населения, участвующего в культурно - </w:t>
      </w:r>
      <w:proofErr w:type="spellStart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досуговых</w:t>
      </w:r>
      <w:proofErr w:type="spellEnd"/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мероприятиях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DC4F37" w:rsidRDefault="00CB46F7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DC4F37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Исполнитель, ответственный за формирование показателя (контактная информация: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DC4F37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DC4F37" w:rsidTr="00CB46F7">
        <w:trPr>
          <w:trHeight w:val="60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</w:p>
        </w:tc>
      </w:tr>
      <w:tr w:rsidR="00CB46F7" w:rsidRPr="00DC4F37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DC4F37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DC4F37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 берутся из годовых отчетов учреждений культуры</w:t>
            </w:r>
          </w:p>
        </w:tc>
      </w:tr>
      <w:tr w:rsidR="00CB46F7" w:rsidRPr="00DC4F37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учреждений культуры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К=------------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100%</w:t>
            </w:r>
          </w:p>
          <w:p w:rsidR="00CB46F7" w:rsidRPr="00DC4F37" w:rsidRDefault="00CB46F7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К-удельный</w:t>
            </w:r>
            <w:proofErr w:type="spellEnd"/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вес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в общей численности населения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ККДМ-количество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населения, участвующего в 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</w:p>
          <w:p w:rsidR="00CB46F7" w:rsidRPr="00DC4F37" w:rsidRDefault="00CB46F7" w:rsidP="00DC4F3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 – численность населения</w:t>
            </w:r>
          </w:p>
        </w:tc>
      </w:tr>
    </w:tbl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Финансовое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обеспечение муниципальной программы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Общий объем финансирования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6457DF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612</w:t>
      </w:r>
      <w:r w:rsidR="003B2FA5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935,5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78292,4тыс.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78444,5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117848,1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2018 </w:t>
      </w:r>
      <w:r w:rsidR="00D95622"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6457DF" w:rsidRPr="00DC4F37">
        <w:rPr>
          <w:rFonts w:ascii="Arial" w:eastAsia="Times New Roman" w:hAnsi="Arial" w:cs="Arial"/>
          <w:sz w:val="24"/>
          <w:szCs w:val="24"/>
          <w:lang w:eastAsia="zh-CN"/>
        </w:rPr>
        <w:t>131</w:t>
      </w:r>
      <w:r w:rsidR="003B2FA5" w:rsidRPr="00DC4F37">
        <w:rPr>
          <w:rFonts w:ascii="Arial" w:eastAsia="Times New Roman" w:hAnsi="Arial" w:cs="Arial"/>
          <w:sz w:val="24"/>
          <w:szCs w:val="24"/>
          <w:lang w:eastAsia="zh-CN"/>
        </w:rPr>
        <w:t>442,7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2019 - 103246,1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2020 - 103661,7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из них средства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бюджета города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52</w:t>
      </w:r>
      <w:r w:rsidR="00526ED4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6032,</w:t>
      </w:r>
      <w:r w:rsidR="00B03388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0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71904,3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71320,2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87743,2тыс.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526ED4" w:rsidRPr="00DC4F37">
        <w:rPr>
          <w:rFonts w:ascii="Arial" w:eastAsia="Times New Roman" w:hAnsi="Arial" w:cs="Arial"/>
          <w:sz w:val="24"/>
          <w:szCs w:val="24"/>
          <w:lang w:eastAsia="zh-CN"/>
        </w:rPr>
        <w:t>102398,</w:t>
      </w:r>
      <w:r w:rsidR="00B03388" w:rsidRPr="00DC4F37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96224,3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96441,2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их них субвенции бюджета Тульской области – </w:t>
      </w:r>
      <w:r w:rsidR="00F17278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60</w:t>
      </w:r>
      <w:r w:rsidR="000C3C72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698,</w:t>
      </w:r>
      <w:r w:rsidR="00B03388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9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6367,1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7106,3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 18943,1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17278" w:rsidRPr="00DC4F37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B03388" w:rsidRPr="00DC4F37">
        <w:rPr>
          <w:rFonts w:ascii="Arial" w:eastAsia="Times New Roman" w:hAnsi="Arial" w:cs="Arial"/>
          <w:sz w:val="24"/>
          <w:szCs w:val="24"/>
          <w:lang w:eastAsia="zh-CN"/>
        </w:rPr>
        <w:t>4040,1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7021,8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7220,5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их них средства федерального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бюджета – </w:t>
      </w:r>
      <w:r w:rsidR="00F17278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26</w:t>
      </w:r>
      <w:r w:rsidR="000C3C72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204,6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.,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в том числе по годам: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21,0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18,0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 – 11161,8 тыс. руб.</w:t>
      </w:r>
    </w:p>
    <w:p w:rsidR="00F17278" w:rsidRPr="00DC4F37" w:rsidRDefault="00F17278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 – 1</w:t>
      </w:r>
      <w:r w:rsidR="000C3C72" w:rsidRPr="00DC4F37">
        <w:rPr>
          <w:rFonts w:ascii="Arial" w:eastAsia="Times New Roman" w:hAnsi="Arial" w:cs="Arial"/>
          <w:sz w:val="24"/>
          <w:szCs w:val="24"/>
          <w:lang w:eastAsia="zh-CN"/>
        </w:rPr>
        <w:t>5003,8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Финансирование по подпрограммам и основным мероприятиям программы: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1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– 148211,7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22748,4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22696,7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25244,7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25802,7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25835,1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25884,1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2 –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119</w:t>
      </w:r>
      <w:r w:rsidR="00D95622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 w:rsidR="0095745A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88,7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- 14432,3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2016 -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14676,8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- 19740,5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- 23</w:t>
      </w:r>
      <w:r w:rsidR="0095745A" w:rsidRPr="00DC4F37">
        <w:rPr>
          <w:rFonts w:ascii="Arial" w:eastAsia="Times New Roman" w:hAnsi="Arial" w:cs="Arial"/>
          <w:sz w:val="24"/>
          <w:szCs w:val="24"/>
          <w:lang w:eastAsia="zh-CN"/>
        </w:rPr>
        <w:t>822,5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23218,5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– 23398,1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3 – </w:t>
      </w:r>
      <w:r w:rsidR="00F17278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="00D95622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0</w:t>
      </w:r>
      <w:r w:rsidR="00855B0D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960,8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6826,4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6656,8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7949,2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7278" w:rsidRPr="00DC4F37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855B0D" w:rsidRPr="00DC4F37">
        <w:rPr>
          <w:rFonts w:ascii="Arial" w:eastAsia="Times New Roman" w:hAnsi="Arial" w:cs="Arial"/>
          <w:sz w:val="24"/>
          <w:szCs w:val="24"/>
          <w:lang w:eastAsia="zh-CN"/>
        </w:rPr>
        <w:t>900,0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9779,1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9849,3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 –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16</w:t>
      </w:r>
      <w:r w:rsidR="00F13EA7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5</w:t>
      </w:r>
      <w:r w:rsidR="0037755C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475</w:t>
      </w:r>
      <w:r w:rsidR="003B2FA5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="0037755C"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9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18367,0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16405,8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47117,7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95622" w:rsidRPr="00DC4F37">
        <w:rPr>
          <w:rFonts w:ascii="Arial" w:eastAsia="Times New Roman" w:hAnsi="Arial" w:cs="Arial"/>
          <w:sz w:val="24"/>
          <w:szCs w:val="24"/>
          <w:lang w:eastAsia="zh-CN"/>
        </w:rPr>
        <w:t>32</w:t>
      </w:r>
      <w:r w:rsidR="0037755C" w:rsidRPr="00DC4F37">
        <w:rPr>
          <w:rFonts w:ascii="Arial" w:eastAsia="Times New Roman" w:hAnsi="Arial" w:cs="Arial"/>
          <w:sz w:val="24"/>
          <w:szCs w:val="24"/>
          <w:lang w:eastAsia="zh-CN"/>
        </w:rPr>
        <w:t>590,9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 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25440,6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25553,9 тыс. руб.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 –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5075,0</w:t>
      </w:r>
      <w:r w:rsidR="005D00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1020,0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1985,0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1000,0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470,0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 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103923,4</w:t>
      </w:r>
      <w:r w:rsidR="005D00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14898,3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16023,4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16796,0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- 18856,6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18672,8 тыс. руб.</w:t>
      </w:r>
    </w:p>
    <w:p w:rsidR="00CB46F7" w:rsidRPr="00DC4F37" w:rsidRDefault="00CB46F7" w:rsidP="00DC4F3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zh-CN"/>
        </w:rPr>
        <w:t>18676,3 тыс. руб.</w:t>
      </w: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DC4F37" w:rsidSect="006457DF">
          <w:pgSz w:w="11906" w:h="16838"/>
          <w:pgMar w:top="426" w:right="850" w:bottom="426" w:left="1701" w:header="708" w:footer="708" w:gutter="0"/>
          <w:cols w:space="720"/>
          <w:docGrid w:linePitch="299"/>
        </w:sectPr>
      </w:pPr>
    </w:p>
    <w:p w:rsidR="007F1F4F" w:rsidRPr="00DC4F37" w:rsidRDefault="007F1F4F" w:rsidP="00DC4F3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3" w:name="sub_11100"/>
    </w:p>
    <w:p w:rsidR="00871B2E" w:rsidRPr="00DC4F37" w:rsidRDefault="00871B2E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показателей результативност</w:t>
      </w:r>
      <w:r w:rsidR="001D6C71"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и эффективности реализации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программы </w:t>
      </w:r>
    </w:p>
    <w:p w:rsidR="00871B2E" w:rsidRPr="00DC4F37" w:rsidRDefault="00871B2E" w:rsidP="00DC4F3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871B2E" w:rsidRPr="00DC4F37" w:rsidTr="000B6A3E">
        <w:trPr>
          <w:trHeight w:val="47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1052A7">
            <w:pPr>
              <w:suppressAutoHyphens/>
              <w:autoSpaceDE w:val="0"/>
              <w:spacing w:after="0" w:line="240" w:lineRule="auto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5D0006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1B2E" w:rsidRPr="00DC4F37" w:rsidRDefault="00871B2E" w:rsidP="00DC4F3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Плановые значения на </w:t>
            </w:r>
            <w:r w:rsidR="00155FE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день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55FE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55FE9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действия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программы</w:t>
            </w:r>
          </w:p>
        </w:tc>
      </w:tr>
      <w:tr w:rsidR="00871B2E" w:rsidRPr="00DC4F37" w:rsidTr="000B6A3E">
        <w:trPr>
          <w:trHeight w:val="14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DC4F37" w:rsidRDefault="00871B2E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DC4F37" w:rsidRDefault="00871B2E" w:rsidP="00DC4F3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DC4F37" w:rsidRDefault="00871B2E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DC4F37" w:rsidRDefault="00871B2E" w:rsidP="005D000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2E" w:rsidRPr="00DC4F37" w:rsidRDefault="00871B2E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71B2E" w:rsidRPr="00DC4F37" w:rsidTr="000B6A3E">
        <w:trPr>
          <w:trHeight w:val="274"/>
        </w:trPr>
        <w:tc>
          <w:tcPr>
            <w:tcW w:w="14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1F" w:rsidRPr="00DC4F37" w:rsidRDefault="00871B2E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</w:t>
            </w:r>
            <w:r w:rsidR="000B6A3E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ограммы: </w:t>
            </w:r>
            <w:r w:rsidR="002862B8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культурного потенциала, обеспечение населения в услугах, </w:t>
            </w:r>
          </w:p>
          <w:p w:rsidR="00871B2E" w:rsidRPr="00DC4F37" w:rsidRDefault="002862B8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предоставляемых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учреждениями культуры</w:t>
            </w:r>
          </w:p>
        </w:tc>
      </w:tr>
      <w:tr w:rsidR="0002631C" w:rsidRPr="00DC4F37" w:rsidTr="00155FE9">
        <w:trPr>
          <w:cantSplit/>
          <w:trHeight w:val="3665"/>
        </w:trPr>
        <w:tc>
          <w:tcPr>
            <w:tcW w:w="1931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  <w:hideMark/>
          </w:tcPr>
          <w:p w:rsidR="00AB02FD" w:rsidRPr="00DC4F37" w:rsidRDefault="0002631C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AB02FD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02631C" w:rsidRPr="00DC4F37" w:rsidRDefault="00AB02FD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02631C" w:rsidRPr="00DC4F37" w:rsidRDefault="00920E5E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Средняя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численность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участников 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клубных формирований в расчете на 1 тыс. человек (чел.)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</w:tr>
      <w:tr w:rsidR="0002631C" w:rsidRPr="00DC4F37" w:rsidTr="00983F80">
        <w:trPr>
          <w:cantSplit/>
          <w:trHeight w:val="2908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DC4F37" w:rsidRDefault="00920E5E" w:rsidP="00DC4F3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оличество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посещений 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организаций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культуры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по отношению к уровню 2010</w:t>
            </w:r>
            <w:r w:rsidR="005D00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02631C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31C" w:rsidRPr="00DC4F37" w:rsidRDefault="0002631C" w:rsidP="00DC4F3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</w:tr>
    </w:tbl>
    <w:p w:rsidR="00871B2E" w:rsidRPr="00DC4F37" w:rsidRDefault="00871B2E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871B2E" w:rsidRPr="00DC4F37" w:rsidSect="007F1F4F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реализации муниципальной программы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6014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213"/>
        <w:gridCol w:w="1910"/>
        <w:gridCol w:w="554"/>
        <w:gridCol w:w="709"/>
        <w:gridCol w:w="1418"/>
        <w:gridCol w:w="580"/>
        <w:gridCol w:w="979"/>
        <w:gridCol w:w="992"/>
        <w:gridCol w:w="1134"/>
        <w:gridCol w:w="1134"/>
        <w:gridCol w:w="1276"/>
        <w:gridCol w:w="1129"/>
      </w:tblGrid>
      <w:tr w:rsidR="00C44F6D" w:rsidRPr="00DC4F37" w:rsidTr="00482333">
        <w:trPr>
          <w:trHeight w:val="445"/>
          <w:tblHeader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Код бюджетной классификации </w:t>
            </w:r>
          </w:p>
        </w:tc>
        <w:tc>
          <w:tcPr>
            <w:tcW w:w="6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44F6D" w:rsidRPr="00DC4F37" w:rsidTr="005D0006">
        <w:trPr>
          <w:trHeight w:val="706"/>
          <w:tblHeader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DC4F37" w:rsidTr="00482333">
        <w:trPr>
          <w:tblHeader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</w:tr>
      <w:tr w:rsidR="00C44F6D" w:rsidRPr="00DC4F37" w:rsidTr="005D0006">
        <w:trPr>
          <w:trHeight w:val="77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443C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</w:t>
            </w:r>
            <w:r w:rsidR="00CB46F7"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униципальная программа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Культура в муниципальном образовании город Алексин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D95622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751410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DC4F37" w:rsidTr="005D0006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96423,8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751410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DC4F37" w:rsidTr="005D0006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21424,3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49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02404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94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4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11161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9132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 образование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DC4F37" w:rsidTr="005D0006">
        <w:trPr>
          <w:trHeight w:val="84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 xml:space="preserve">«Реализация дополнительных общеобразовательных </w:t>
            </w:r>
            <w:proofErr w:type="spellStart"/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общеразвивающих</w:t>
            </w:r>
            <w:proofErr w:type="spellEnd"/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 xml:space="preserve"> программ»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(МАОУ ДОД «АДШИ им. 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52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DC4F37" w:rsidTr="005D0006">
        <w:trPr>
          <w:trHeight w:val="77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Обеспечение деятельности (оказание услуг)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DC4F37" w:rsidTr="005D0006">
        <w:trPr>
          <w:trHeight w:val="7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Укрепление МТБ муниципальных учреждений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33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DC4F37" w:rsidTr="005D0006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</w:t>
            </w: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70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66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48233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DC4F37" w:rsidTr="00482333">
        <w:trPr>
          <w:trHeight w:val="4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42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12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731,8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44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8CB" w:rsidRPr="00DC4F37" w:rsidRDefault="009658CB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Предоставление мер социальной поддержки педагогическим и иным работникам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DC4F37" w:rsidTr="00482333">
        <w:trPr>
          <w:trHeight w:val="82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CB" w:rsidRPr="00DC4F37" w:rsidRDefault="009658CB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0218253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96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555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DC4F37" w:rsidTr="00482333">
        <w:trPr>
          <w:trHeight w:val="1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1052A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семинаров,</w:t>
            </w:r>
            <w:r w:rsidR="005D000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мастер-классов, участие в конкурсах, фестивалях, выставках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0212822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CB" w:rsidRPr="00DC4F37" w:rsidRDefault="009658C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0F0BFE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</w:t>
            </w:r>
            <w:r w:rsidR="00C102F8"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822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DC4F37" w:rsidTr="00482333">
        <w:trPr>
          <w:trHeight w:val="124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«Обеспечение прав граждан на свободный доступ к информации, хранящейся в библиотеках»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DC4F37" w:rsidRDefault="000F0BFE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  <w:p w:rsidR="00482333" w:rsidRPr="00DC4F37" w:rsidRDefault="0048233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DC4F37" w:rsidRDefault="00765049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DC4F37" w:rsidTr="00482333">
        <w:trPr>
          <w:trHeight w:val="5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Обеспечение деятельности (оказание услуг) МБУК «ЦБС»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политике и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7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DC4F37" w:rsidTr="005D0006">
        <w:trPr>
          <w:trHeight w:val="60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0F0BFE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102F8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477</w:t>
            </w:r>
            <w:r w:rsidR="00CB46F7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D00F7C" w:rsidRPr="00DC4F37" w:rsidTr="005D0006">
        <w:trPr>
          <w:trHeight w:val="60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DC4F37" w:rsidRDefault="00D00F7C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DC4F37" w:rsidTr="005D0006">
        <w:trPr>
          <w:trHeight w:val="46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D00F7C" w:rsidRPr="00DC4F37" w:rsidTr="005D0006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DC4F37" w:rsidRDefault="00D00F7C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Комплектование книжных фондов, подписка МБУК «ЦБС»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</w:t>
            </w:r>
            <w:proofErr w:type="gramEnd"/>
          </w:p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«ЦБС») </w:t>
            </w:r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DC4F37" w:rsidTr="005D0006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0225144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DC4F37" w:rsidTr="005D0006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0220251440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DC4F37" w:rsidTr="005D0006">
        <w:trPr>
          <w:trHeight w:val="50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0220228230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DC4F37" w:rsidRDefault="00D00F7C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5C2D5A" w:rsidRPr="00DC4F37" w:rsidTr="00482333">
        <w:trPr>
          <w:trHeight w:val="120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Комплектование книжных фондов</w:t>
            </w:r>
            <w:r w:rsidR="0060555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</w:t>
            </w:r>
            <w:proofErr w:type="gramStart"/>
            <w:r w:rsidR="0060555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к(</w:t>
            </w:r>
            <w:proofErr w:type="gram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 (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софинансир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L5191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727E2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DC4F37" w:rsidRDefault="00B51CE8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D5A" w:rsidRPr="00DC4F37" w:rsidRDefault="005C2D5A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1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социальной поддержки работникам муниципальных библиотек»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3517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DC4F37" w:rsidTr="00482333">
        <w:trPr>
          <w:trHeight w:val="1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мер социальной поддержки работникам муниципальных библиотек в 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культуре, молодежной политике и спорту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218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3280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DC4F37" w:rsidTr="00482333">
        <w:trPr>
          <w:trHeight w:val="7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Оплата дополнительного отпуска работникам муниципальных библиотек (Закон Тульской области «О библиотечном деле»)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3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0220380130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482333">
        <w:trPr>
          <w:trHeight w:val="31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0230000000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26643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FB53EF" w:rsidRPr="00DC4F37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</w:t>
            </w:r>
            <w:r w:rsidR="003A6859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C44F6D" w:rsidRPr="00DC4F37" w:rsidTr="00482333">
        <w:trPr>
          <w:trHeight w:val="85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прав граждан на доступ к культурным ценностям, хранящимся в музее»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</w:t>
            </w:r>
            <w:r w:rsidR="004A3711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DC4F37" w:rsidTr="001052A7">
        <w:trPr>
          <w:trHeight w:val="85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«АХКМ»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F54C8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1052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5635,8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20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="004A3711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DC4F37" w:rsidTr="00482333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5D000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базы муниципальных учреждений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26643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</w:t>
            </w:r>
            <w:r w:rsidR="00966D62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</w:t>
            </w:r>
            <w:r w:rsidR="00660A7B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94</w:t>
            </w:r>
            <w:r w:rsidR="00CB46F7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660A7B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B4439B" w:rsidRPr="00DC4F37" w:rsidTr="00482333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 МБУК «АХКМ»</w:t>
            </w:r>
          </w:p>
          <w:p w:rsidR="00B4439B" w:rsidRPr="00DC4F37" w:rsidRDefault="00B4439B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Реставрационные работы на объектах культурного наследия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4439B" w:rsidRPr="00DC4F37" w:rsidTr="00482333">
        <w:trPr>
          <w:trHeight w:val="65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B4439B" w:rsidRPr="00DC4F37" w:rsidTr="00B4439B">
        <w:trPr>
          <w:trHeight w:val="61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L5092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439B" w:rsidRPr="00DC4F37" w:rsidRDefault="00B4439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00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4439B" w:rsidRPr="00DC4F37" w:rsidTr="00482333">
        <w:trPr>
          <w:trHeight w:val="34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4439B" w:rsidRPr="00DC4F37" w:rsidRDefault="007C1FF4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4439B" w:rsidRPr="00DC4F37" w:rsidRDefault="007C1FF4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4439B" w:rsidRPr="00DC4F37" w:rsidRDefault="007C1FF4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0230228010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4439B" w:rsidRPr="00DC4F37" w:rsidRDefault="007C1FF4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39B" w:rsidRPr="00DC4F37" w:rsidRDefault="007C1FF4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39B" w:rsidRPr="00DC4F37" w:rsidRDefault="00B4439B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материальной поддержки работникам</w:t>
            </w:r>
            <w:r w:rsidR="005D000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учреждений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FB53EF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1211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DC4F37" w:rsidTr="001052A7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мер социальной поддержки работникам муниципального музея в рамках ГП ТО «Развития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F54C8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1052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68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FB53EF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1211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DC4F37" w:rsidTr="00482333">
        <w:trPr>
          <w:trHeight w:val="364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1052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4.Подпрограмма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Сохранение и развитие учреждений клубного типа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2C4C1D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7B06A5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32</w:t>
            </w:r>
            <w:r w:rsidR="00880DB7"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25553,9</w:t>
            </w:r>
          </w:p>
        </w:tc>
      </w:tr>
      <w:tr w:rsidR="00C44F6D" w:rsidRPr="00DC4F37" w:rsidTr="005D0006">
        <w:trPr>
          <w:trHeight w:val="109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«Организация деятельности клубных формирований, формирований самодеятельного народного творчества и подготовка концертных программ»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15077,1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5828FF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25962,3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25193,9</w:t>
            </w:r>
          </w:p>
        </w:tc>
      </w:tr>
      <w:tr w:rsidR="00FE6ED3" w:rsidRPr="00DC4F37" w:rsidTr="00482333">
        <w:trPr>
          <w:trHeight w:val="52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6ED3" w:rsidRPr="00DC4F37" w:rsidRDefault="00FE6ED3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«РДК»</w:t>
            </w:r>
          </w:p>
          <w:p w:rsidR="00FE6ED3" w:rsidRPr="00DC4F37" w:rsidRDefault="00FE6ED3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E6ED3" w:rsidRPr="00DC4F37" w:rsidTr="00482333">
        <w:trPr>
          <w:trHeight w:val="98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2527,9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2562,9</w:t>
            </w:r>
          </w:p>
        </w:tc>
      </w:tr>
      <w:tr w:rsidR="00FE6ED3" w:rsidRPr="00DC4F37" w:rsidTr="00482333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DC4F37" w:rsidRDefault="00FE6ED3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10949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DC4F37" w:rsidRDefault="00E1489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</w:tr>
      <w:tr w:rsidR="00DA5919" w:rsidRPr="00DC4F37" w:rsidTr="00482333">
        <w:trPr>
          <w:trHeight w:val="56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A5919" w:rsidRPr="00DC4F37" w:rsidRDefault="00DA5919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деятельности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(оказание услуг)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</w:t>
            </w: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>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0248927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A5919" w:rsidRPr="00DC4F37" w:rsidTr="00482333">
        <w:trPr>
          <w:trHeight w:val="93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DC4F37" w:rsidRDefault="005828F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2121,1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2164,8</w:t>
            </w:r>
          </w:p>
        </w:tc>
      </w:tr>
      <w:tr w:rsidR="00DA5919" w:rsidRPr="00DC4F37" w:rsidTr="00482333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DC4F37" w:rsidRDefault="00DA591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DC4F37" w:rsidRDefault="00332529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</w:tr>
      <w:tr w:rsidR="00C44F6D" w:rsidRPr="00DC4F37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DC4F37" w:rsidTr="00482333">
        <w:trPr>
          <w:trHeight w:val="681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34D0" w:rsidRPr="00DC4F37" w:rsidRDefault="006F34D0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мер социальной поддержки работникам муниципальных </w:t>
            </w:r>
          </w:p>
          <w:p w:rsidR="006F34D0" w:rsidRPr="00DC4F37" w:rsidRDefault="006F34D0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Домов культуры в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Комитет по культуре, молодежной политике и спорту</w:t>
            </w:r>
          </w:p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0248012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DC4F37" w:rsidTr="00482333">
        <w:trPr>
          <w:trHeight w:val="109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="008B4606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DC4F37" w:rsidRDefault="006F34D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4606" w:rsidRPr="00DC4F37" w:rsidTr="005D0006">
        <w:trPr>
          <w:trHeight w:val="78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DC4F37" w:rsidRDefault="008B460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DC4F37" w:rsidRDefault="008B460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DC4F37" w:rsidRDefault="008B460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DC4F37" w:rsidRDefault="008B4606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DC4F37" w:rsidRDefault="008B4606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DC4F37" w:rsidRDefault="008B4606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DC4F37" w:rsidRDefault="008B4606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DC4F37" w:rsidRDefault="008B4606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44F6D" w:rsidRPr="00DC4F37" w:rsidTr="005D0006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 «КДЦ», МБУК «АРДК»)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5828FF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</w:t>
            </w:r>
            <w:r w:rsidR="00CD4F8E"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</w:tr>
      <w:tr w:rsidR="00B36BE2" w:rsidRPr="00DC4F37" w:rsidTr="006931F0">
        <w:trPr>
          <w:trHeight w:val="86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6BE2" w:rsidRPr="00DC4F37" w:rsidRDefault="00B36BE2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(МБУ «КДЦ»)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E2" w:rsidRPr="00DC4F37" w:rsidRDefault="00B36BE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35A26" w:rsidRPr="00DC4F37" w:rsidTr="005431DD">
        <w:trPr>
          <w:trHeight w:val="86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5828F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DC4F37" w:rsidRDefault="00235A2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</w:tr>
      <w:tr w:rsidR="00981AB5" w:rsidRPr="00DC4F37" w:rsidTr="005431DD">
        <w:trPr>
          <w:trHeight w:val="1128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AB5" w:rsidRPr="00DC4F37" w:rsidRDefault="00981AB5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 базы МБУК «РДК»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(МБУК «РДК»)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DC4F37" w:rsidRDefault="00966D6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DC4F37" w:rsidRDefault="00981AB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DC4F37" w:rsidTr="005431DD">
        <w:trPr>
          <w:trHeight w:val="85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</w:t>
            </w:r>
          </w:p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1CF" w:rsidRPr="00DC4F37" w:rsidRDefault="00640C1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1052A7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1CF" w:rsidRPr="00DC4F37" w:rsidRDefault="001A01CF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5C0E58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Расходы на обеспечение развития и укрепления материально-технической базы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домов культуры в населённых пунктах с числом жителей до 50 тыс. человек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</w:t>
            </w:r>
            <w:proofErr w:type="gramStart"/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»(</w:t>
            </w:r>
            <w:proofErr w:type="spellStart"/>
            <w:proofErr w:type="gramEnd"/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Шелепино</w:t>
            </w:r>
            <w:proofErr w:type="spellEnd"/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Спас-Конино</w:t>
            </w:r>
            <w:proofErr w:type="spellEnd"/>
            <w:r w:rsidR="001A01C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  <w:r w:rsidR="00A509C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A509C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софинансир</w:t>
            </w:r>
            <w:proofErr w:type="spellEnd"/>
            <w:r w:rsidR="00A509C3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4517B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4517B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4517B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4517B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DC4F37" w:rsidRDefault="007B06A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1CF" w:rsidRPr="00DC4F37" w:rsidRDefault="001A01C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052A7" w:rsidRPr="00DC4F37" w:rsidTr="001052A7">
        <w:trPr>
          <w:trHeight w:val="1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2A7" w:rsidRPr="00DC4F37" w:rsidRDefault="001052A7" w:rsidP="001052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1052A7" w:rsidRPr="00DC4F37" w:rsidTr="00252462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2A7" w:rsidRPr="00DC4F37" w:rsidRDefault="001052A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1052A7" w:rsidRPr="00DC4F37" w:rsidTr="00252462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A7" w:rsidRPr="00DC4F37" w:rsidRDefault="001052A7" w:rsidP="00DC4F3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A7" w:rsidRPr="00DC4F37" w:rsidRDefault="001052A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B4529F" w:rsidRPr="00DC4F37" w:rsidTr="00B4529F">
        <w:trPr>
          <w:trHeight w:val="10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4529F" w:rsidRPr="00DC4F37" w:rsidRDefault="00B4529F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</w:t>
            </w:r>
            <w:proofErr w:type="gramStart"/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у</w:t>
            </w:r>
            <w:r w:rsidR="000D649D"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</w:t>
            </w:r>
            <w:proofErr w:type="gramEnd"/>
            <w:r w:rsidR="001A425D"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МБУ</w:t>
            </w:r>
            <w:r w:rsidR="000D649D"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9F" w:rsidRPr="00DC4F37" w:rsidRDefault="00B4529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DC4F37" w:rsidTr="00B4529F">
        <w:trPr>
          <w:trHeight w:val="46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4FA6" w:rsidRPr="00DC4F37" w:rsidRDefault="00E64FA6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DC4F37" w:rsidTr="00E64FA6">
        <w:trPr>
          <w:trHeight w:val="3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DC4F37" w:rsidRDefault="00E64FA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DC4F37" w:rsidRDefault="00E64FA6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DC4F37" w:rsidRDefault="00E64FA6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1195,4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6" w:rsidRPr="00DC4F37" w:rsidRDefault="00E64FA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E64FA6">
        <w:trPr>
          <w:trHeight w:val="27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0D649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0D649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0D649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</w:t>
            </w: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val="en-US" w:eastAsia="zh-CN"/>
              </w:rPr>
              <w:t>S</w:t>
            </w: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0D649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0D649D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59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«Сохранение и развитие традиций народного творчества»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482333">
        <w:trPr>
          <w:trHeight w:val="593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4517BB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Сохранение и р</w:t>
            </w:r>
            <w:r w:rsidR="00CB46F7"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азвитие традиционного народного творчества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2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0240328240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Создание и модернизация</w:t>
            </w:r>
            <w:r w:rsidR="005D000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сельского дома культуры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9470,8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7748,8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A74B9E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«Проведение праздничных, торжественных, юбилейных, культурно-массовых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мероприятий для населения»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300,00</w:t>
            </w:r>
          </w:p>
        </w:tc>
      </w:tr>
      <w:tr w:rsidR="00C44F6D" w:rsidRPr="00DC4F37" w:rsidTr="005D0006">
        <w:trPr>
          <w:trHeight w:val="9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A74B9E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DC4F37" w:rsidTr="00482333">
        <w:trPr>
          <w:trHeight w:val="9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EC284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5D00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4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921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82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0250128250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DC4F37" w:rsidTr="00482333">
        <w:trPr>
          <w:trHeight w:val="827"/>
          <w:jc w:val="center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 на мероприятие по организации и проведению экспонирования и установке памятных знаков, знаков отличия, стел, мемориальных и иных объектов за счет средств межбюджетных трансфертов из бюджета Тульской области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0250282770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Обеспечение реализации</w:t>
            </w:r>
            <w:r w:rsidR="005D0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муниципальной программы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1052A7" w:rsidRDefault="00A930D8" w:rsidP="001052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МКУ «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54778F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0260000000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DC4F37" w:rsidTr="005D0006">
        <w:trPr>
          <w:trHeight w:val="667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деятельности подведомственных организаций»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A930D8" w:rsidP="001052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МКУ «</w:t>
            </w:r>
            <w:proofErr w:type="spellStart"/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026010000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DC4F37" w:rsidTr="00482333">
        <w:trPr>
          <w:trHeight w:val="66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МКУ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DC4F37" w:rsidRDefault="00CB46F7" w:rsidP="001052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МКУ «</w:t>
            </w:r>
            <w:proofErr w:type="spellStart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FB53EF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</w:t>
            </w: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103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0260100590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FB53EF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FB53EF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FB53EF" w:rsidRPr="00DC4F37" w:rsidRDefault="00FB53EF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78F" w:rsidRPr="00DC4F37" w:rsidRDefault="005F58B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5F58B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DC4F37" w:rsidRDefault="005F58B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DC4F37" w:rsidTr="00482333">
        <w:trPr>
          <w:trHeight w:val="41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ремонтных, аварийно-восстановительных работ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DC4F37" w:rsidRDefault="00B65B9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DC4F37" w:rsidRDefault="002C641B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DC4F37" w:rsidRDefault="002C641B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482333">
        <w:trPr>
          <w:trHeight w:val="943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</w:t>
            </w:r>
            <w:r w:rsidR="007C42EF"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DC4F37" w:rsidRDefault="0097468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«АЦБС»</w:t>
            </w:r>
          </w:p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</w:t>
            </w:r>
          </w:p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«ЦБИТОУКИМП»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48233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DC4F37" w:rsidRDefault="0097468C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DC4F37" w:rsidRDefault="00BE49F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5443D4" w:rsidRPr="00DC4F37" w:rsidRDefault="005443D4" w:rsidP="00DC4F3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DC4F37" w:rsidRDefault="00CB46F7" w:rsidP="005D000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и прогнозная (справочная) оценка расходов бюджета Тульской области, бюджета муниципального образования и иных источников на реализацию целей</w:t>
      </w:r>
      <w:r w:rsidR="005D00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DC4F3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программы (тыс. руб.)</w:t>
      </w:r>
    </w:p>
    <w:p w:rsidR="00CB46F7" w:rsidRPr="00DC4F37" w:rsidRDefault="00CB46F7" w:rsidP="00DC4F3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64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2126"/>
        <w:gridCol w:w="3113"/>
        <w:gridCol w:w="1418"/>
        <w:gridCol w:w="1276"/>
        <w:gridCol w:w="1275"/>
        <w:gridCol w:w="1276"/>
        <w:gridCol w:w="1418"/>
        <w:gridCol w:w="1418"/>
      </w:tblGrid>
      <w:tr w:rsidR="00C44F6D" w:rsidRPr="00DC4F37" w:rsidTr="002E2D2D">
        <w:trPr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программы, подпрограммы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финансирования муниципальной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44F6D" w:rsidRPr="00DC4F37" w:rsidTr="002E2D2D">
        <w:trPr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5D0006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DC4F37" w:rsidTr="002E2D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5D0006" w:rsidRPr="00DC4F37" w:rsidTr="009D462F">
        <w:trPr>
          <w:trHeight w:val="52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«Культура в муниципальном образовании Алексинский 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район»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131442,7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5D0006" w:rsidRPr="00DC4F37" w:rsidTr="009D462F">
        <w:trPr>
          <w:trHeight w:val="33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18943,1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</w:t>
            </w:r>
          </w:p>
        </w:tc>
      </w:tr>
      <w:tr w:rsidR="005D0006" w:rsidRPr="00DC4F37" w:rsidTr="009D462F">
        <w:trPr>
          <w:trHeight w:val="38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102398,8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</w:p>
        </w:tc>
      </w:tr>
      <w:tr w:rsidR="005D0006" w:rsidRPr="00DC4F37" w:rsidTr="009D462F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D0006" w:rsidRPr="00DC4F37" w:rsidRDefault="005D0006" w:rsidP="00DC4F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DC4F37" w:rsidTr="002E2D2D">
        <w:trPr>
          <w:trHeight w:val="7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1052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</w:t>
            </w:r>
            <w:r w:rsidR="00105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DC4F37" w:rsidTr="002E2D2D">
        <w:trPr>
          <w:trHeight w:val="3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DC4F37" w:rsidTr="002E2D2D">
        <w:trPr>
          <w:trHeight w:val="25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  <w:tr w:rsidR="00C44F6D" w:rsidRPr="00DC4F37" w:rsidTr="002E2D2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</w:t>
            </w:r>
            <w:r w:rsidR="00F16C51"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DC4F37" w:rsidTr="002E2D2D">
        <w:trPr>
          <w:trHeight w:val="2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5D0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2C641B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  <w:r w:rsidR="00F16C51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DC4F37" w:rsidTr="002E2D2D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44F6D" w:rsidRPr="00DC4F37" w:rsidTr="002E2D2D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F16C51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26600" w:rsidRPr="00DC4F37" w:rsidTr="002E2D2D">
        <w:trPr>
          <w:trHeight w:val="26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DC4F37" w:rsidRDefault="00D26600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DC4F37" w:rsidRDefault="002D726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29900,0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D26600" w:rsidRPr="00DC4F37" w:rsidTr="002E2D2D">
        <w:trPr>
          <w:trHeight w:val="307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3162A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D26600" w:rsidRPr="00DC4F37" w:rsidTr="002E2D2D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2D7265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8688,2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D26600" w:rsidRPr="00DC4F37" w:rsidTr="005D0006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6600" w:rsidRPr="00DC4F37" w:rsidRDefault="00D26600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6600" w:rsidRPr="00DC4F37" w:rsidRDefault="00D26600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DC4F37" w:rsidRDefault="000956C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DC4F37" w:rsidRDefault="003162A2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DC4F37" w:rsidRDefault="00D26600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D0006" w:rsidRPr="00DC4F37" w:rsidTr="00413185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006" w:rsidRPr="00DC4F37" w:rsidRDefault="005D0006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Сохранение и развитие учреждений клубного типа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32590,9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25553,9</w:t>
            </w:r>
          </w:p>
        </w:tc>
      </w:tr>
      <w:tr w:rsidR="005D0006" w:rsidRPr="00DC4F37" w:rsidTr="00413185">
        <w:trPr>
          <w:trHeight w:val="2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5D0006" w:rsidRPr="00DC4F37" w:rsidTr="00413185">
        <w:trPr>
          <w:trHeight w:val="77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29102,9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5D0006" w:rsidRPr="00DC4F37" w:rsidTr="005D0006">
        <w:trPr>
          <w:trHeight w:val="54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006" w:rsidRPr="00DC4F37" w:rsidRDefault="005D0006" w:rsidP="00DC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0006" w:rsidRPr="00DC4F37" w:rsidRDefault="005D0006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5D0006">
        <w:trPr>
          <w:trHeight w:val="184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Проведение праздничных, торжественных, юбилейных, культурно-массовых и </w:t>
            </w:r>
            <w:proofErr w:type="spellStart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мероприятий для населения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DC4F37" w:rsidTr="002E2D2D">
        <w:trPr>
          <w:trHeight w:val="2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</w:t>
            </w:r>
          </w:p>
        </w:tc>
      </w:tr>
      <w:tr w:rsidR="00C44F6D" w:rsidRPr="00DC4F37" w:rsidTr="002E2D2D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DC4F37" w:rsidTr="002E2D2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11F22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</w:t>
            </w:r>
            <w:r w:rsidR="00CB46F7"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DC4F37" w:rsidRDefault="00CB46F7" w:rsidP="00DC4F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Обеспечение </w:t>
            </w:r>
            <w:r w:rsidR="00C11F22"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реализации </w:t>
            </w:r>
            <w:r w:rsidRPr="00DC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DC4F37" w:rsidTr="002E2D2D">
        <w:trPr>
          <w:trHeight w:val="2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5D00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DC4F37" w:rsidRDefault="00CB46F7" w:rsidP="00DC4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F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</w:tbl>
    <w:p w:rsidR="00CB46F7" w:rsidRPr="00DC4F37" w:rsidRDefault="00CB46F7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DC4F37" w:rsidRDefault="004069A1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DC4F37" w:rsidRDefault="004069A1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4069A1" w:rsidRPr="00DC4F37" w:rsidSect="005443D4">
          <w:pgSz w:w="16838" w:h="11906" w:orient="landscape"/>
          <w:pgMar w:top="284" w:right="851" w:bottom="426" w:left="851" w:header="709" w:footer="709" w:gutter="0"/>
          <w:cols w:space="720"/>
          <w:docGrid w:linePitch="299"/>
        </w:sectPr>
      </w:pPr>
    </w:p>
    <w:bookmarkEnd w:id="3"/>
    <w:p w:rsidR="00331ED6" w:rsidRPr="00DC4F37" w:rsidRDefault="00331ED6" w:rsidP="00DC4F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DC4F37" w:rsidRDefault="00331ED6" w:rsidP="00DC4F37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b/>
          <w:sz w:val="24"/>
          <w:szCs w:val="24"/>
          <w:lang w:eastAsia="ar-SA"/>
        </w:rPr>
        <w:t>Используемые в муниципальной программе сокращения</w:t>
      </w:r>
    </w:p>
    <w:p w:rsidR="00331ED6" w:rsidRPr="00DC4F37" w:rsidRDefault="00331ED6" w:rsidP="00DC4F37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МКУ «КЦ «Чайка»- муниципальное казенное учреждение для молодежи «Комплексный центр для молодежи «Чайка»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МБУК «ЦБС» - муниципальное бюджетное учреждение культуры «Централизованная библиотечная система» им. князя Г.Е.Львова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МБУК «АХКМ» - муниципальное бюджетное учреждение культуры «Алексинский художественно-краеведческий музей»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МБУК «РДК» - муниципальное бюджетное учреждение культуры «Алексинский районный Дом культуры»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МБУ «КДЦ» - муниципальное бюджетное учреждение</w:t>
      </w:r>
      <w:r w:rsidR="005D00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4F37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Pr="00DC4F37">
        <w:rPr>
          <w:rFonts w:ascii="Arial" w:eastAsia="Times New Roman" w:hAnsi="Arial" w:cs="Arial"/>
          <w:sz w:val="24"/>
          <w:szCs w:val="24"/>
          <w:lang w:eastAsia="ar-SA"/>
        </w:rPr>
        <w:t>Культурно-досуговый</w:t>
      </w:r>
      <w:proofErr w:type="spellEnd"/>
      <w:r w:rsidRPr="00DC4F37">
        <w:rPr>
          <w:rFonts w:ascii="Arial" w:eastAsia="Times New Roman" w:hAnsi="Arial" w:cs="Arial"/>
          <w:sz w:val="24"/>
          <w:szCs w:val="24"/>
          <w:lang w:eastAsia="ar-SA"/>
        </w:rPr>
        <w:t xml:space="preserve"> центр города Алексина»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 xml:space="preserve">МБОУ «ЦПМСС» - муниципальное бюджетное образовательное учреждение «Центр </w:t>
      </w:r>
      <w:proofErr w:type="spellStart"/>
      <w:proofErr w:type="gramStart"/>
      <w:r w:rsidRPr="00DC4F37">
        <w:rPr>
          <w:rFonts w:ascii="Arial" w:eastAsia="Times New Roman" w:hAnsi="Arial" w:cs="Arial"/>
          <w:sz w:val="24"/>
          <w:szCs w:val="24"/>
          <w:lang w:eastAsia="ar-SA"/>
        </w:rPr>
        <w:t>психолого-медико</w:t>
      </w:r>
      <w:proofErr w:type="spellEnd"/>
      <w:proofErr w:type="gramEnd"/>
      <w:r w:rsidRPr="00DC4F37">
        <w:rPr>
          <w:rFonts w:ascii="Arial" w:eastAsia="Times New Roman" w:hAnsi="Arial" w:cs="Arial"/>
          <w:sz w:val="24"/>
          <w:szCs w:val="24"/>
          <w:lang w:eastAsia="ar-SA"/>
        </w:rPr>
        <w:t xml:space="preserve"> социального сопровождения»</w:t>
      </w:r>
    </w:p>
    <w:p w:rsidR="00331ED6" w:rsidRPr="00DC4F37" w:rsidRDefault="00331ED6" w:rsidP="005D00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4F37">
        <w:rPr>
          <w:rFonts w:ascii="Arial" w:eastAsia="Times New Roman" w:hAnsi="Arial" w:cs="Arial"/>
          <w:sz w:val="24"/>
          <w:szCs w:val="24"/>
          <w:lang w:eastAsia="ar-SA"/>
        </w:rPr>
        <w:t>СОНКО – социально ориентированные некоммерческие организации</w:t>
      </w:r>
    </w:p>
    <w:p w:rsidR="00331ED6" w:rsidRPr="00DC4F37" w:rsidRDefault="00331ED6" w:rsidP="00DC4F37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DC4F37" w:rsidRDefault="00331ED6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DC4F37" w:rsidRDefault="00331ED6" w:rsidP="00DC4F3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EDC" w:rsidRPr="00DC4F37" w:rsidRDefault="00BC666B" w:rsidP="005D00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Председатель</w:t>
      </w:r>
      <w:r w:rsidR="00F94EDC"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 комитета культуры,</w:t>
      </w:r>
    </w:p>
    <w:p w:rsidR="00F94EDC" w:rsidRPr="00DC4F37" w:rsidRDefault="00F94EDC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>Молодёжной политике и спорту</w:t>
      </w:r>
    </w:p>
    <w:p w:rsidR="00F94EDC" w:rsidRPr="00DC4F37" w:rsidRDefault="00F94EDC" w:rsidP="00DC4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Администрации муниципального образования </w:t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5D000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BC666B" w:rsidRPr="00DC4F37">
        <w:rPr>
          <w:rFonts w:ascii="Arial" w:eastAsia="Times New Roman" w:hAnsi="Arial" w:cs="Arial"/>
          <w:sz w:val="24"/>
          <w:szCs w:val="24"/>
          <w:lang w:eastAsia="zh-CN"/>
        </w:rPr>
        <w:t xml:space="preserve">О.Ю. </w:t>
      </w:r>
      <w:proofErr w:type="gramStart"/>
      <w:r w:rsidR="00BC666B" w:rsidRPr="00DC4F37">
        <w:rPr>
          <w:rFonts w:ascii="Arial" w:eastAsia="Times New Roman" w:hAnsi="Arial" w:cs="Arial"/>
          <w:sz w:val="24"/>
          <w:szCs w:val="24"/>
          <w:lang w:eastAsia="zh-CN"/>
        </w:rPr>
        <w:t>Алёшина</w:t>
      </w:r>
      <w:proofErr w:type="gramEnd"/>
    </w:p>
    <w:p w:rsidR="00331ED6" w:rsidRPr="00DC4F37" w:rsidRDefault="00331ED6" w:rsidP="00DC4F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C62" w:rsidRPr="00DC4F37" w:rsidRDefault="00F23C62" w:rsidP="00DC4F3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3C62" w:rsidRPr="00DC4F37" w:rsidSect="00DF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67C"/>
    <w:rsid w:val="000030E1"/>
    <w:rsid w:val="00011B89"/>
    <w:rsid w:val="00016D5F"/>
    <w:rsid w:val="0002631C"/>
    <w:rsid w:val="00050FE0"/>
    <w:rsid w:val="00055060"/>
    <w:rsid w:val="00066D10"/>
    <w:rsid w:val="00075ACD"/>
    <w:rsid w:val="00081B23"/>
    <w:rsid w:val="000956C7"/>
    <w:rsid w:val="000A5317"/>
    <w:rsid w:val="000B6A3E"/>
    <w:rsid w:val="000C27F2"/>
    <w:rsid w:val="000C3C72"/>
    <w:rsid w:val="000D0FD2"/>
    <w:rsid w:val="000D5D23"/>
    <w:rsid w:val="000D649D"/>
    <w:rsid w:val="000F0BFE"/>
    <w:rsid w:val="001052A7"/>
    <w:rsid w:val="00107EB2"/>
    <w:rsid w:val="00111243"/>
    <w:rsid w:val="00135B67"/>
    <w:rsid w:val="00146E8A"/>
    <w:rsid w:val="0015067C"/>
    <w:rsid w:val="00155FE9"/>
    <w:rsid w:val="0017556D"/>
    <w:rsid w:val="0019643F"/>
    <w:rsid w:val="001A01CF"/>
    <w:rsid w:val="001A3332"/>
    <w:rsid w:val="001A425D"/>
    <w:rsid w:val="001C68D5"/>
    <w:rsid w:val="001D6C71"/>
    <w:rsid w:val="00200012"/>
    <w:rsid w:val="00200A67"/>
    <w:rsid w:val="00202D05"/>
    <w:rsid w:val="00207B4A"/>
    <w:rsid w:val="00210D6C"/>
    <w:rsid w:val="00223C79"/>
    <w:rsid w:val="00224D6E"/>
    <w:rsid w:val="00226436"/>
    <w:rsid w:val="00235A26"/>
    <w:rsid w:val="002862B8"/>
    <w:rsid w:val="002A0F76"/>
    <w:rsid w:val="002A1265"/>
    <w:rsid w:val="002B0371"/>
    <w:rsid w:val="002C4C1D"/>
    <w:rsid w:val="002C641B"/>
    <w:rsid w:val="002D576D"/>
    <w:rsid w:val="002D6167"/>
    <w:rsid w:val="002D7265"/>
    <w:rsid w:val="002E2D2D"/>
    <w:rsid w:val="002F5593"/>
    <w:rsid w:val="003013B0"/>
    <w:rsid w:val="003162A2"/>
    <w:rsid w:val="00326767"/>
    <w:rsid w:val="00331ED6"/>
    <w:rsid w:val="00332529"/>
    <w:rsid w:val="003342E8"/>
    <w:rsid w:val="00352193"/>
    <w:rsid w:val="0036463A"/>
    <w:rsid w:val="00367F0E"/>
    <w:rsid w:val="003739C9"/>
    <w:rsid w:val="0037755C"/>
    <w:rsid w:val="00380AB9"/>
    <w:rsid w:val="0039311E"/>
    <w:rsid w:val="00396691"/>
    <w:rsid w:val="003A6859"/>
    <w:rsid w:val="003B2FA5"/>
    <w:rsid w:val="003B470C"/>
    <w:rsid w:val="003C0BBB"/>
    <w:rsid w:val="003D421A"/>
    <w:rsid w:val="003D74F5"/>
    <w:rsid w:val="003E597F"/>
    <w:rsid w:val="003F3003"/>
    <w:rsid w:val="00400938"/>
    <w:rsid w:val="004069A1"/>
    <w:rsid w:val="00415407"/>
    <w:rsid w:val="00433041"/>
    <w:rsid w:val="004352E4"/>
    <w:rsid w:val="00443C26"/>
    <w:rsid w:val="004517BB"/>
    <w:rsid w:val="00451E6A"/>
    <w:rsid w:val="00462C4D"/>
    <w:rsid w:val="00471FDA"/>
    <w:rsid w:val="00474E53"/>
    <w:rsid w:val="004766C8"/>
    <w:rsid w:val="00482333"/>
    <w:rsid w:val="004A3711"/>
    <w:rsid w:val="004C10B3"/>
    <w:rsid w:val="004C4F77"/>
    <w:rsid w:val="004D054F"/>
    <w:rsid w:val="004D089B"/>
    <w:rsid w:val="004F15A6"/>
    <w:rsid w:val="004F3BDD"/>
    <w:rsid w:val="005138EE"/>
    <w:rsid w:val="00517185"/>
    <w:rsid w:val="0052386C"/>
    <w:rsid w:val="00526ED4"/>
    <w:rsid w:val="005431DD"/>
    <w:rsid w:val="005443D4"/>
    <w:rsid w:val="0054778F"/>
    <w:rsid w:val="00577223"/>
    <w:rsid w:val="00580CF3"/>
    <w:rsid w:val="005828FF"/>
    <w:rsid w:val="0059585F"/>
    <w:rsid w:val="005B3DA8"/>
    <w:rsid w:val="005C0E58"/>
    <w:rsid w:val="005C2D5A"/>
    <w:rsid w:val="005D0006"/>
    <w:rsid w:val="005D1936"/>
    <w:rsid w:val="005F10FF"/>
    <w:rsid w:val="005F58B7"/>
    <w:rsid w:val="00600091"/>
    <w:rsid w:val="00605553"/>
    <w:rsid w:val="00621F34"/>
    <w:rsid w:val="00636679"/>
    <w:rsid w:val="00640C1D"/>
    <w:rsid w:val="006457DF"/>
    <w:rsid w:val="0064624E"/>
    <w:rsid w:val="006466EE"/>
    <w:rsid w:val="0065145F"/>
    <w:rsid w:val="0066039F"/>
    <w:rsid w:val="00660A7B"/>
    <w:rsid w:val="00665441"/>
    <w:rsid w:val="006668FD"/>
    <w:rsid w:val="006931F0"/>
    <w:rsid w:val="006D3424"/>
    <w:rsid w:val="006F34D0"/>
    <w:rsid w:val="0071588E"/>
    <w:rsid w:val="007158B4"/>
    <w:rsid w:val="00720AA3"/>
    <w:rsid w:val="00727E2F"/>
    <w:rsid w:val="00744B96"/>
    <w:rsid w:val="00751410"/>
    <w:rsid w:val="00763B6F"/>
    <w:rsid w:val="00765049"/>
    <w:rsid w:val="00773809"/>
    <w:rsid w:val="007757B2"/>
    <w:rsid w:val="00777951"/>
    <w:rsid w:val="00783FFB"/>
    <w:rsid w:val="00792885"/>
    <w:rsid w:val="007B06A5"/>
    <w:rsid w:val="007C1FF4"/>
    <w:rsid w:val="007C42EF"/>
    <w:rsid w:val="007F1F4F"/>
    <w:rsid w:val="007F4A6A"/>
    <w:rsid w:val="00814717"/>
    <w:rsid w:val="00825A3A"/>
    <w:rsid w:val="0082790D"/>
    <w:rsid w:val="008303AF"/>
    <w:rsid w:val="00835861"/>
    <w:rsid w:val="00845FD4"/>
    <w:rsid w:val="008506F0"/>
    <w:rsid w:val="00855B0D"/>
    <w:rsid w:val="0086231F"/>
    <w:rsid w:val="008679B6"/>
    <w:rsid w:val="00871B2E"/>
    <w:rsid w:val="008752E5"/>
    <w:rsid w:val="008764FD"/>
    <w:rsid w:val="00880BAB"/>
    <w:rsid w:val="00880DB7"/>
    <w:rsid w:val="008A4544"/>
    <w:rsid w:val="008B4606"/>
    <w:rsid w:val="008C3D10"/>
    <w:rsid w:val="008E0DB7"/>
    <w:rsid w:val="008E3799"/>
    <w:rsid w:val="008E3CD2"/>
    <w:rsid w:val="008F0008"/>
    <w:rsid w:val="008F5E69"/>
    <w:rsid w:val="00916AB7"/>
    <w:rsid w:val="0092043D"/>
    <w:rsid w:val="00920E5E"/>
    <w:rsid w:val="00923440"/>
    <w:rsid w:val="009263FF"/>
    <w:rsid w:val="00931EE3"/>
    <w:rsid w:val="00934BD0"/>
    <w:rsid w:val="009370AF"/>
    <w:rsid w:val="009521E5"/>
    <w:rsid w:val="00952B74"/>
    <w:rsid w:val="0095745A"/>
    <w:rsid w:val="009658CB"/>
    <w:rsid w:val="00965E40"/>
    <w:rsid w:val="00966D62"/>
    <w:rsid w:val="009671C5"/>
    <w:rsid w:val="00967393"/>
    <w:rsid w:val="0097468C"/>
    <w:rsid w:val="0097676D"/>
    <w:rsid w:val="00981AB5"/>
    <w:rsid w:val="00983F80"/>
    <w:rsid w:val="00985E44"/>
    <w:rsid w:val="00996C8D"/>
    <w:rsid w:val="009A6A0F"/>
    <w:rsid w:val="009A7A23"/>
    <w:rsid w:val="009B6FFF"/>
    <w:rsid w:val="009C3B11"/>
    <w:rsid w:val="009D7913"/>
    <w:rsid w:val="009E6620"/>
    <w:rsid w:val="009F1DAD"/>
    <w:rsid w:val="00A045FB"/>
    <w:rsid w:val="00A04616"/>
    <w:rsid w:val="00A124C1"/>
    <w:rsid w:val="00A25072"/>
    <w:rsid w:val="00A25CD4"/>
    <w:rsid w:val="00A34313"/>
    <w:rsid w:val="00A509C3"/>
    <w:rsid w:val="00A74B9E"/>
    <w:rsid w:val="00A8321B"/>
    <w:rsid w:val="00A8630F"/>
    <w:rsid w:val="00A903ED"/>
    <w:rsid w:val="00A930D8"/>
    <w:rsid w:val="00A934A4"/>
    <w:rsid w:val="00AA3125"/>
    <w:rsid w:val="00AB02FD"/>
    <w:rsid w:val="00AC0DD6"/>
    <w:rsid w:val="00AD0E66"/>
    <w:rsid w:val="00AD1979"/>
    <w:rsid w:val="00AE588F"/>
    <w:rsid w:val="00AE6DCF"/>
    <w:rsid w:val="00B020EA"/>
    <w:rsid w:val="00B03388"/>
    <w:rsid w:val="00B24BAC"/>
    <w:rsid w:val="00B33734"/>
    <w:rsid w:val="00B3564D"/>
    <w:rsid w:val="00B36BE2"/>
    <w:rsid w:val="00B4439B"/>
    <w:rsid w:val="00B4529F"/>
    <w:rsid w:val="00B51CE8"/>
    <w:rsid w:val="00B610C0"/>
    <w:rsid w:val="00B65B9C"/>
    <w:rsid w:val="00B72429"/>
    <w:rsid w:val="00BA56D3"/>
    <w:rsid w:val="00BA7517"/>
    <w:rsid w:val="00BB62A5"/>
    <w:rsid w:val="00BB6846"/>
    <w:rsid w:val="00BB6DB8"/>
    <w:rsid w:val="00BC666B"/>
    <w:rsid w:val="00BD09D5"/>
    <w:rsid w:val="00BD33E2"/>
    <w:rsid w:val="00BD3C73"/>
    <w:rsid w:val="00BD7C82"/>
    <w:rsid w:val="00BE2A24"/>
    <w:rsid w:val="00BE49F6"/>
    <w:rsid w:val="00BF6DC1"/>
    <w:rsid w:val="00C04338"/>
    <w:rsid w:val="00C102F8"/>
    <w:rsid w:val="00C11F22"/>
    <w:rsid w:val="00C26643"/>
    <w:rsid w:val="00C41F18"/>
    <w:rsid w:val="00C44F6D"/>
    <w:rsid w:val="00C60DDF"/>
    <w:rsid w:val="00C74216"/>
    <w:rsid w:val="00C90995"/>
    <w:rsid w:val="00CA1B5C"/>
    <w:rsid w:val="00CA71B6"/>
    <w:rsid w:val="00CA7A1F"/>
    <w:rsid w:val="00CB46F7"/>
    <w:rsid w:val="00CB7B87"/>
    <w:rsid w:val="00CC52A8"/>
    <w:rsid w:val="00CD1C31"/>
    <w:rsid w:val="00CD2938"/>
    <w:rsid w:val="00CD3060"/>
    <w:rsid w:val="00CD4F8E"/>
    <w:rsid w:val="00CE2629"/>
    <w:rsid w:val="00CF2728"/>
    <w:rsid w:val="00D00F7C"/>
    <w:rsid w:val="00D12B56"/>
    <w:rsid w:val="00D161DF"/>
    <w:rsid w:val="00D17E7E"/>
    <w:rsid w:val="00D26600"/>
    <w:rsid w:val="00D268A7"/>
    <w:rsid w:val="00D5129A"/>
    <w:rsid w:val="00D95622"/>
    <w:rsid w:val="00DA5919"/>
    <w:rsid w:val="00DB24BA"/>
    <w:rsid w:val="00DC4F37"/>
    <w:rsid w:val="00DE30DA"/>
    <w:rsid w:val="00DF2365"/>
    <w:rsid w:val="00E14897"/>
    <w:rsid w:val="00E25235"/>
    <w:rsid w:val="00E406AA"/>
    <w:rsid w:val="00E50645"/>
    <w:rsid w:val="00E64FA6"/>
    <w:rsid w:val="00E727E6"/>
    <w:rsid w:val="00E95496"/>
    <w:rsid w:val="00EA431B"/>
    <w:rsid w:val="00EA526E"/>
    <w:rsid w:val="00EA687C"/>
    <w:rsid w:val="00EC27A2"/>
    <w:rsid w:val="00EC284F"/>
    <w:rsid w:val="00EC4A40"/>
    <w:rsid w:val="00EC4AE6"/>
    <w:rsid w:val="00EF6CA7"/>
    <w:rsid w:val="00F062A0"/>
    <w:rsid w:val="00F13EA7"/>
    <w:rsid w:val="00F16C51"/>
    <w:rsid w:val="00F17278"/>
    <w:rsid w:val="00F23C62"/>
    <w:rsid w:val="00F258EE"/>
    <w:rsid w:val="00F428FC"/>
    <w:rsid w:val="00F45C1E"/>
    <w:rsid w:val="00F54C8C"/>
    <w:rsid w:val="00F60969"/>
    <w:rsid w:val="00F62DFE"/>
    <w:rsid w:val="00F8082C"/>
    <w:rsid w:val="00F8188B"/>
    <w:rsid w:val="00F92C0D"/>
    <w:rsid w:val="00F94EDC"/>
    <w:rsid w:val="00F96BA2"/>
    <w:rsid w:val="00F972B6"/>
    <w:rsid w:val="00FA2F2A"/>
    <w:rsid w:val="00FB2A14"/>
    <w:rsid w:val="00FB53EF"/>
    <w:rsid w:val="00FE6ED3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5"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Без интервала1"/>
    <w:rsid w:val="00BB62A5"/>
    <w:pPr>
      <w:suppressAutoHyphens/>
      <w:spacing w:after="0" w:line="240" w:lineRule="auto"/>
    </w:pPr>
    <w:rPr>
      <w:rFonts w:ascii="Calibri" w:eastAsia="Arial" w:hAnsi="Calibri" w:cs="Calibri"/>
      <w:color w:val="00000A"/>
      <w:lang w:eastAsia="ar-SA"/>
    </w:rPr>
  </w:style>
  <w:style w:type="table" w:styleId="af7">
    <w:name w:val="Table Grid"/>
    <w:basedOn w:val="a1"/>
    <w:uiPriority w:val="59"/>
    <w:rsid w:val="00DC4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1600.0/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30200315.0/" TargetMode="External"/><Relationship Id="rId12" Type="http://schemas.openxmlformats.org/officeDocument/2006/relationships/hyperlink" Target="garantf1://30201600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9049.0/" TargetMode="External"/><Relationship Id="rId11" Type="http://schemas.openxmlformats.org/officeDocument/2006/relationships/hyperlink" Target="consultantplus://offline/ref=C1B4447B43FD4CD13ACB27A751F25DEB1C6932DEBA5C9632787376D93F02F24FE10C4DDC10715029W62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10" Type="http://schemas.openxmlformats.org/officeDocument/2006/relationships/hyperlink" Target="consultantplus://offline/ref=C1B4447B43FD4CD13ACB27A751F25DEB1C6932DEBA5C9632787376D93F02F24FE10C4DDC10715029W62D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1600.0/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FA1A-55C2-4B0F-A19A-F7EF427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14033</Words>
  <Characters>79994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323</cp:revision>
  <cp:lastPrinted>2018-08-03T09:48:00Z</cp:lastPrinted>
  <dcterms:created xsi:type="dcterms:W3CDTF">2018-02-28T11:23:00Z</dcterms:created>
  <dcterms:modified xsi:type="dcterms:W3CDTF">2018-09-05T19:05:00Z</dcterms:modified>
</cp:coreProperties>
</file>