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распоряжению 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бразования город Алексин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11.12.2024</w:t>
      </w:r>
      <w:r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221-рп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Инвестиционная декларация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муниципального образования город Алексин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Инвестиции – это вклад в будущее. Наращивание инвестиционного потенциала – задача одновременно экономическая и политическая. Инвестирование в экономику муниципального образования позволяет создавать новые рабочие места, пополнять муниципальный бюджет, обеспечивает стабильный доход и уверенность граждан в завтрашнем дне.</w:t>
      </w:r>
    </w:p>
    <w:p w14:paraId="0A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 xml:space="preserve">Основным принципом инвестиционной политики муниципального образования город Алексин является взаимная ответственность органов местного самоуправления муниципального образования город Алексин и субъектов инвестиционной деятельности, а также сбалансированность интересов органов местного самоуправления и субъектов инвестиционной деятельности. </w:t>
      </w:r>
    </w:p>
    <w:p w14:paraId="0B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 xml:space="preserve">Настоящая декларация разработана в соответствии со Стандартом </w:t>
      </w:r>
      <w:r>
        <w:rPr>
          <w:sz w:val="26"/>
        </w:rPr>
        <w:t>деятельности органов местного самоуправления муниципальных образований Тульской области</w:t>
      </w:r>
      <w:r>
        <w:rPr>
          <w:sz w:val="26"/>
        </w:rPr>
        <w:t xml:space="preserve"> по обеспечению благоприятного инвестиционного и делового климата (муниципальный инвестиционный стандарт), утвержденным приказом министерства экономического развития Тульской области от 27.03.2023 №32-ОСН, и предназначена для действующих и потенциальных инвесторов, а также представителей </w:t>
      </w:r>
      <w:r>
        <w:rPr>
          <w:sz w:val="26"/>
        </w:rPr>
        <w:t>бизнес-сообщества</w:t>
      </w:r>
      <w:r>
        <w:rPr>
          <w:sz w:val="26"/>
        </w:rPr>
        <w:t>.</w:t>
      </w:r>
    </w:p>
    <w:p w14:paraId="0C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Составлена</w:t>
      </w:r>
      <w:r>
        <w:rPr>
          <w:sz w:val="26"/>
        </w:rPr>
        <w:t xml:space="preserve"> исходя из следующих принципов:</w:t>
      </w:r>
    </w:p>
    <w:p w14:paraId="0D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«ответственности» – декларация  является обязательством муниципального образования город Алексин перед инвестором о незыблемости мер муниципальной поддержки и условий для ведения бизнеса;</w:t>
      </w:r>
    </w:p>
    <w:p w14:paraId="0E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«достоверности» - обеспечение соответствия информации, содержащейся  в инвестиционной декларации, нормативным актам муниципального образования город Алексин и Тульской области, а также государственным информационным ресурсам, являющимся первоисточниками такой информации;</w:t>
      </w:r>
    </w:p>
    <w:p w14:paraId="0F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«</w:t>
      </w:r>
      <w:r>
        <w:rPr>
          <w:sz w:val="26"/>
        </w:rPr>
        <w:t>неухудшения</w:t>
      </w:r>
      <w:r>
        <w:rPr>
          <w:sz w:val="26"/>
        </w:rPr>
        <w:t>» положения инвестора при утверждении новой инвестиционной декларации и муниципальных нормативных правовых актов;</w:t>
      </w:r>
    </w:p>
    <w:p w14:paraId="10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обеспечение открытости и доступности информации;</w:t>
      </w:r>
    </w:p>
    <w:p w14:paraId="11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обеспечение формирования благоприятного инвестиционного климата в муниципальном образовании;</w:t>
      </w:r>
    </w:p>
    <w:p w14:paraId="12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обеспечение повышения эффективности использования мер муниципальной и государственной поддержки инвестиционной деятельности в муниципальном образовании.</w:t>
      </w:r>
    </w:p>
    <w:p w14:paraId="13000000">
      <w:pPr>
        <w:pStyle w:val="Style_1"/>
        <w:widowControl w:val="0"/>
        <w:spacing w:after="0" w:before="0"/>
        <w:ind w:firstLine="708" w:left="0"/>
        <w:jc w:val="both"/>
        <w:rPr>
          <w:b w:val="1"/>
          <w:sz w:val="26"/>
        </w:rPr>
      </w:pPr>
      <w:r>
        <w:rPr>
          <w:b w:val="1"/>
          <w:sz w:val="26"/>
        </w:rPr>
        <w:t>Ключевые характеристики и преимущества муниципального образования город Алексин</w:t>
      </w:r>
    </w:p>
    <w:p w14:paraId="14000000">
      <w:pPr>
        <w:pStyle w:val="Style_1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Муниципальное образование город Алексин расположено в северо-западной части Тульской области. На северо-западе граничит с землями Калужской области.</w:t>
      </w:r>
    </w:p>
    <w:p w14:paraId="15000000">
      <w:pPr>
        <w:pStyle w:val="Style_1"/>
        <w:spacing w:after="0" w:before="0"/>
        <w:ind/>
        <w:jc w:val="both"/>
        <w:rPr>
          <w:sz w:val="26"/>
        </w:rPr>
      </w:pPr>
      <w:r>
        <w:rPr>
          <w:sz w:val="26"/>
        </w:rPr>
        <w:t>Расстояние до Москвы - 150 км, Тулы - 60 км, Калуги - 60 км. Дорожная сеть развита - автодороги, железнодорожное сообщение.</w:t>
      </w:r>
    </w:p>
    <w:p w14:paraId="16000000">
      <w:pPr>
        <w:pStyle w:val="Style_1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 xml:space="preserve">Территория муниципального образования составляет 94,28 тыс. га, в том числе площадь города Алексин – 4,3 тыс. га. </w:t>
      </w:r>
    </w:p>
    <w:p w14:paraId="17000000">
      <w:pPr>
        <w:pStyle w:val="Style_1"/>
        <w:widowControl w:val="0"/>
        <w:spacing w:after="0" w:before="0"/>
        <w:ind/>
        <w:jc w:val="both"/>
        <w:rPr>
          <w:sz w:val="26"/>
        </w:rPr>
      </w:pPr>
    </w:p>
    <w:p w14:paraId="18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По территории Алексинского района протекает судоходная река Ока, которая впадает в реку Волгу.</w:t>
      </w:r>
    </w:p>
    <w:p w14:paraId="19000000">
      <w:pPr>
        <w:pStyle w:val="Style_1"/>
        <w:tabs>
          <w:tab w:leader="none" w:pos="567" w:val="left"/>
        </w:tabs>
        <w:spacing w:after="0" w:before="0"/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Численность постоянного населения за 2023</w:t>
      </w:r>
      <w:r>
        <w:rPr>
          <w:sz w:val="26"/>
        </w:rPr>
        <w:t xml:space="preserve"> год составила 69,79 тыс. чел., в том числе трудоспособного – 38,7 тыс. чел.</w:t>
      </w:r>
    </w:p>
    <w:p w14:paraId="1A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 xml:space="preserve">Ведущая роль в экономике муниципального образования принадлежит промышленному комплексу. Значимые промышленные предприятия:                                 </w:t>
      </w:r>
      <w:r>
        <w:rPr>
          <w:sz w:val="26"/>
        </w:rPr>
        <w:t>Филиал АО НПО «</w:t>
      </w:r>
      <w:r>
        <w:rPr>
          <w:sz w:val="26"/>
        </w:rPr>
        <w:t>Тяжпромарматура</w:t>
      </w:r>
      <w:r>
        <w:rPr>
          <w:sz w:val="26"/>
        </w:rPr>
        <w:t>» - АЗТПА (запорная арматура),                                    ФКП «Алексинский химический комбинат» (лаки, краски, резинотехнические изделия), АО «Алексинский опытный механический завод» (нестандартное оборудование),                АО «</w:t>
      </w:r>
      <w:r>
        <w:rPr>
          <w:sz w:val="26"/>
        </w:rPr>
        <w:t>Гланит</w:t>
      </w:r>
      <w:r>
        <w:rPr>
          <w:sz w:val="26"/>
        </w:rPr>
        <w:t>» (стеклотара), АО «</w:t>
      </w:r>
      <w:r>
        <w:rPr>
          <w:sz w:val="26"/>
        </w:rPr>
        <w:t>Алексинстройконструкция</w:t>
      </w:r>
      <w:r>
        <w:rPr>
          <w:sz w:val="26"/>
        </w:rPr>
        <w:t>» (металлические гофрированные трубы), ООО «</w:t>
      </w:r>
      <w:r>
        <w:rPr>
          <w:sz w:val="26"/>
        </w:rPr>
        <w:t>Новопласт</w:t>
      </w:r>
      <w:r>
        <w:rPr>
          <w:sz w:val="26"/>
        </w:rPr>
        <w:t>» (</w:t>
      </w:r>
      <w:r>
        <w:rPr>
          <w:sz w:val="26"/>
        </w:rPr>
        <w:t>сендвич-панели</w:t>
      </w:r>
      <w:r>
        <w:rPr>
          <w:sz w:val="26"/>
        </w:rPr>
        <w:t xml:space="preserve">), </w:t>
      </w:r>
      <w:r>
        <w:rPr>
          <w:sz w:val="26"/>
        </w:rPr>
        <w:t xml:space="preserve">       </w:t>
      </w:r>
      <w:r>
        <w:rPr>
          <w:sz w:val="26"/>
        </w:rPr>
        <w:t>ООО «Алексинская бумажно-картонная фабрика» (картон), СФТ ПАКЕДЖИНГ АЛЕКСИН (</w:t>
      </w:r>
      <w:r>
        <w:rPr>
          <w:sz w:val="26"/>
        </w:rPr>
        <w:t>гофрокартон</w:t>
      </w:r>
      <w:r>
        <w:rPr>
          <w:sz w:val="26"/>
        </w:rPr>
        <w:t xml:space="preserve">). </w:t>
      </w:r>
    </w:p>
    <w:p w14:paraId="1B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 xml:space="preserve">Муниципальное образование город Алексин имеет статус «Моногорода», что позволяет бизнесу пользоваться расширенной и наиболее лояльной линейкой мер государственной поддержки. </w:t>
      </w:r>
      <w:r>
        <w:rPr>
          <w:sz w:val="26"/>
        </w:rPr>
        <w:t xml:space="preserve">Проектный офис по реализации проекта «Моногород Алексин» координирует деятельность всех участников процесса по развитию моногорода Алексин. 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2019 года в границах муниципального образования для инвесторов действуют особые льготные условия территории опережающего развития -                          ТОР «Алексин». Для потенциальных резидентов ТОР «Алексин» постановлением Правительства РФ от 12.04.2019 №430 «О создании территории опережающего экономического развития «Алексин» установлен перечень обязательных условий для получения статуса резидента территории опережающего развития.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2022 году объем инвестиций в основной капитал за счет всех источников финансирования по муниципальному образованию составил 15,7 </w:t>
      </w:r>
      <w:r>
        <w:rPr>
          <w:rFonts w:ascii="Times New Roman" w:hAnsi="Times New Roman"/>
          <w:sz w:val="26"/>
        </w:rPr>
        <w:t>млрд</w:t>
      </w:r>
      <w:r>
        <w:rPr>
          <w:rFonts w:ascii="Times New Roman" w:hAnsi="Times New Roman"/>
          <w:sz w:val="26"/>
        </w:rPr>
        <w:t xml:space="preserve"> рублей                       (в 3,1 раза больше, чем в 2021 году), во всех сферах жизнедеятельности было создано более 3 тыс. рабочих мест; в 2023 году – инвестиции 7,3 </w:t>
      </w:r>
      <w:r>
        <w:rPr>
          <w:rFonts w:ascii="Times New Roman" w:hAnsi="Times New Roman"/>
          <w:sz w:val="26"/>
        </w:rPr>
        <w:t>млрд</w:t>
      </w:r>
      <w:r>
        <w:rPr>
          <w:rFonts w:ascii="Times New Roman" w:hAnsi="Times New Roman"/>
          <w:sz w:val="26"/>
        </w:rPr>
        <w:t xml:space="preserve"> рублей, создано                      9,7 тыс. новых рабочих мест. В 2022-2023 гг. активно реализовывался крупный инвестиционный проект «Строительство складского комплекса ООО «ВБ Алексин» - инвестор ООО «</w:t>
      </w:r>
      <w:r>
        <w:rPr>
          <w:rFonts w:ascii="Times New Roman" w:hAnsi="Times New Roman"/>
          <w:sz w:val="26"/>
        </w:rPr>
        <w:t>Вайлдберрис</w:t>
      </w:r>
      <w:r>
        <w:rPr>
          <w:rFonts w:ascii="Times New Roman" w:hAnsi="Times New Roman"/>
          <w:sz w:val="26"/>
        </w:rPr>
        <w:t xml:space="preserve">» с планом по освоению общего объема инвестиций                                   19,9 </w:t>
      </w:r>
      <w:r>
        <w:rPr>
          <w:rFonts w:ascii="Times New Roman" w:hAnsi="Times New Roman"/>
          <w:sz w:val="26"/>
        </w:rPr>
        <w:t>млрд</w:t>
      </w:r>
      <w:r>
        <w:rPr>
          <w:rFonts w:ascii="Times New Roman" w:hAnsi="Times New Roman"/>
          <w:sz w:val="26"/>
        </w:rPr>
        <w:t xml:space="preserve"> рублей и созданием 15 тыс.  рабочих мест. В 2024 году продолжена реализация 23 инвестиционных проектов общей стоимостью 45 </w:t>
      </w:r>
      <w:r>
        <w:rPr>
          <w:rFonts w:ascii="Times New Roman" w:hAnsi="Times New Roman"/>
          <w:sz w:val="26"/>
        </w:rPr>
        <w:t>млрд</w:t>
      </w:r>
      <w:r>
        <w:rPr>
          <w:rFonts w:ascii="Times New Roman" w:hAnsi="Times New Roman"/>
          <w:sz w:val="26"/>
        </w:rPr>
        <w:t xml:space="preserve"> рублей. </w:t>
      </w:r>
    </w:p>
    <w:p w14:paraId="1E000000">
      <w:pPr>
        <w:pStyle w:val="Style_1"/>
        <w:widowControl w:val="0"/>
        <w:spacing w:after="0" w:before="0"/>
        <w:ind w:firstLine="708" w:left="0"/>
        <w:jc w:val="both"/>
        <w:rPr>
          <w:sz w:val="26"/>
        </w:rPr>
      </w:pPr>
      <w:r>
        <w:rPr>
          <w:sz w:val="26"/>
        </w:rPr>
        <w:t>Для внедрения н</w:t>
      </w:r>
      <w:r>
        <w:rPr>
          <w:sz w:val="26"/>
        </w:rPr>
        <w:t xml:space="preserve">а территории муниципального образования механизма проектного управления </w:t>
      </w:r>
      <w:r>
        <w:rPr>
          <w:sz w:val="26"/>
        </w:rPr>
        <w:t xml:space="preserve">создан муниципальный проектный офис «Алексин», </w:t>
      </w:r>
      <w:r>
        <w:rPr>
          <w:sz w:val="26"/>
        </w:rPr>
        <w:t>в рамках которого ведется работа по ключевым проектам и направлениям: жилье, инфраструктура, туризм и другие.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Ежегодно обновляются: Бренд-бук муниципального образования, Перечень земель, имущества и инвестиционных предложений, План создания объектов инфраструктуры в муниципальном образовании. Материалы публикуются на </w:t>
      </w:r>
      <w:r>
        <w:rPr>
          <w:rFonts w:ascii="Times New Roman" w:hAnsi="Times New Roman"/>
          <w:sz w:val="26"/>
        </w:rPr>
        <w:t>официальном сайте муниципального образования.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Инвестиционном портале Тульской области </w:t>
      </w:r>
      <w:r>
        <w:rPr>
          <w:rStyle w:val="Style_2_ch"/>
          <w:rFonts w:ascii="Times New Roman" w:hAnsi="Times New Roman"/>
          <w:sz w:val="26"/>
        </w:rPr>
        <w:fldChar w:fldCharType="begin"/>
      </w:r>
      <w:r>
        <w:rPr>
          <w:rStyle w:val="Style_2_ch"/>
          <w:rFonts w:ascii="Times New Roman" w:hAnsi="Times New Roman"/>
          <w:sz w:val="26"/>
        </w:rPr>
        <w:instrText>HYPERLINK "https://invest-tula.com/"</w:instrText>
      </w:r>
      <w:r>
        <w:rPr>
          <w:rStyle w:val="Style_2_ch"/>
          <w:rFonts w:ascii="Times New Roman" w:hAnsi="Times New Roman"/>
          <w:sz w:val="26"/>
        </w:rPr>
        <w:fldChar w:fldCharType="separate"/>
      </w:r>
      <w:r>
        <w:rPr>
          <w:rStyle w:val="Style_2_ch"/>
          <w:rFonts w:ascii="Times New Roman" w:hAnsi="Times New Roman"/>
          <w:sz w:val="26"/>
        </w:rPr>
        <w:t>https://invest-tula.com/</w:t>
      </w:r>
      <w:r>
        <w:rPr>
          <w:rStyle w:val="Style_2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для потенциальных инвесторов  размещена информация о </w:t>
      </w:r>
      <w:r>
        <w:rPr>
          <w:rFonts w:ascii="Times New Roman" w:hAnsi="Times New Roman"/>
          <w:sz w:val="26"/>
        </w:rPr>
        <w:t xml:space="preserve">37 </w:t>
      </w:r>
      <w:r>
        <w:rPr>
          <w:rFonts w:ascii="Times New Roman" w:hAnsi="Times New Roman"/>
          <w:sz w:val="26"/>
        </w:rPr>
        <w:t xml:space="preserve">свободных </w:t>
      </w:r>
      <w:r>
        <w:rPr>
          <w:rFonts w:ascii="Times New Roman" w:hAnsi="Times New Roman"/>
          <w:sz w:val="26"/>
        </w:rPr>
        <w:t>инвестиционных площад</w:t>
      </w:r>
      <w:r>
        <w:rPr>
          <w:rFonts w:ascii="Times New Roman" w:hAnsi="Times New Roman"/>
          <w:sz w:val="26"/>
        </w:rPr>
        <w:t xml:space="preserve">ках </w:t>
      </w:r>
      <w:r>
        <w:rPr>
          <w:rFonts w:ascii="Times New Roman" w:hAnsi="Times New Roman"/>
          <w:sz w:val="26"/>
        </w:rPr>
        <w:t xml:space="preserve">(31 </w:t>
      </w:r>
      <w:r>
        <w:rPr>
          <w:rFonts w:ascii="Times New Roman" w:hAnsi="Times New Roman"/>
          <w:sz w:val="26"/>
        </w:rPr>
        <w:t>гринфилд</w:t>
      </w:r>
      <w:r>
        <w:rPr>
          <w:rFonts w:ascii="Times New Roman" w:hAnsi="Times New Roman"/>
          <w:sz w:val="26"/>
        </w:rPr>
        <w:t xml:space="preserve">, 6 </w:t>
      </w:r>
      <w:r>
        <w:rPr>
          <w:rFonts w:ascii="Times New Roman" w:hAnsi="Times New Roman"/>
          <w:sz w:val="26"/>
        </w:rPr>
        <w:t>браунфилд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муниципального образования город Алексин.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Постановлением администрации муниципального образования город Алексин от 21.12.2015 №2886 утвержден Регламент сопровождения инвестиционных проектов в муниципальном образовании город Алексин по принципу «одного окна».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Постановлением администрации от 17.03.2016 №481 введен институт Инвестиционного уполномоченного. Сообщество «Инвестиционный </w:t>
      </w:r>
      <w:r>
        <w:rPr>
          <w:rFonts w:ascii="Times New Roman" w:hAnsi="Times New Roman"/>
          <w:sz w:val="26"/>
        </w:rPr>
        <w:t>уполномоченный Алексин» создано в социальной сети «</w:t>
      </w:r>
      <w:r>
        <w:rPr>
          <w:rFonts w:ascii="Times New Roman" w:hAnsi="Times New Roman"/>
          <w:sz w:val="26"/>
        </w:rPr>
        <w:t>ВКонтакте</w:t>
      </w:r>
      <w:r>
        <w:rPr>
          <w:rFonts w:ascii="Times New Roman" w:hAnsi="Times New Roman"/>
          <w:sz w:val="26"/>
        </w:rPr>
        <w:t xml:space="preserve">» (public220293149). 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Распоряжением администрации муниципального образования город Алексин от 14.09.2019 №120-рп введен институт Бизнес-гида. Сообщество «Б</w:t>
      </w:r>
      <w:r>
        <w:rPr>
          <w:rFonts w:ascii="Times New Roman" w:hAnsi="Times New Roman"/>
          <w:sz w:val="26"/>
        </w:rPr>
        <w:t xml:space="preserve">изнес-гид Алексин» создано в </w:t>
      </w:r>
      <w:r>
        <w:rPr>
          <w:rFonts w:ascii="Times New Roman" w:hAnsi="Times New Roman"/>
          <w:sz w:val="26"/>
        </w:rPr>
        <w:t>Тел</w:t>
      </w:r>
      <w:r>
        <w:rPr>
          <w:rFonts w:ascii="Times New Roman" w:hAnsi="Times New Roman"/>
          <w:sz w:val="26"/>
        </w:rPr>
        <w:t>еграмм-канале</w:t>
      </w:r>
      <w:r>
        <w:rPr>
          <w:rFonts w:ascii="Times New Roman" w:hAnsi="Times New Roman"/>
          <w:sz w:val="26"/>
        </w:rPr>
        <w:t>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Муниципальной программой «Экономическое развитие и формирование инвестиционной привлекательности муниципального образования город Алексин», утвержденной постановлением администрации муниципального образования город Алексин от 28.12.2023 №2857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предусмотрен комплекс процессных мероприятий «Формирование благоприятной среды для реализации инвестиционных проектов».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Работают Координационный совет по развитию предпринимательства и улучшению инвестиционного климата при администрации муниципального образования город Алексин</w:t>
      </w:r>
      <w:r>
        <w:rPr>
          <w:rFonts w:ascii="Times New Roman" w:hAnsi="Times New Roman"/>
          <w:sz w:val="26"/>
        </w:rPr>
        <w:t xml:space="preserve"> (далее – Координационный совет)</w:t>
      </w:r>
      <w:r>
        <w:rPr>
          <w:rFonts w:ascii="Times New Roman" w:hAnsi="Times New Roman"/>
          <w:sz w:val="26"/>
        </w:rPr>
        <w:t>, Муниципальный фонд местного развития, Алексинский Союз работодателей, общественный помощник Уполномоченного по защите прав предпринимателей в Тульской области</w:t>
      </w:r>
      <w:r>
        <w:rPr>
          <w:rFonts w:ascii="Times New Roman" w:hAnsi="Times New Roman"/>
          <w:sz w:val="26"/>
        </w:rPr>
        <w:t>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</w:t>
      </w:r>
      <w:r>
        <w:rPr>
          <w:rFonts w:ascii="Times New Roman" w:hAnsi="Times New Roman"/>
          <w:sz w:val="26"/>
        </w:rPr>
        <w:t>2022-2023 г</w:t>
      </w:r>
      <w:r>
        <w:rPr>
          <w:rFonts w:ascii="Times New Roman" w:hAnsi="Times New Roman"/>
          <w:sz w:val="26"/>
        </w:rPr>
        <w:t xml:space="preserve">ода </w:t>
      </w:r>
      <w:r>
        <w:rPr>
          <w:rFonts w:ascii="Times New Roman" w:hAnsi="Times New Roman"/>
          <w:sz w:val="26"/>
        </w:rPr>
        <w:t>членами Координационного совета</w:t>
      </w:r>
      <w:r>
        <w:rPr>
          <w:rFonts w:ascii="Times New Roman" w:hAnsi="Times New Roman"/>
          <w:sz w:val="26"/>
        </w:rPr>
        <w:t xml:space="preserve"> приняты решения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>ряду вопросов, в том числе: о</w:t>
      </w:r>
      <w:r>
        <w:rPr>
          <w:rFonts w:ascii="Times New Roman" w:hAnsi="Times New Roman"/>
          <w:sz w:val="26"/>
        </w:rPr>
        <w:t>б эффективности действующей меры поддержки малого и среднего предпринимательства, предусмотренной муниципальной программой «Экономическое развитие и формирование инвестиционной привлекательности муниципального образования город Алексин»; по согласованию проекта Плана мероприятий («дорожной карты») по содействию развитию конкуренции в муниципальном образовании город Алексин в период 2022-2025 годы;</w:t>
      </w:r>
      <w:r>
        <w:rPr>
          <w:rFonts w:ascii="Times New Roman" w:hAnsi="Times New Roman"/>
          <w:sz w:val="26"/>
        </w:rPr>
        <w:t xml:space="preserve"> о принятии инвестиционной декларации муниципального образования город Алексин; </w:t>
      </w:r>
      <w:r>
        <w:rPr>
          <w:rFonts w:ascii="Times New Roman" w:hAnsi="Times New Roman"/>
          <w:color w:val="000000"/>
          <w:sz w:val="26"/>
        </w:rPr>
        <w:t xml:space="preserve">о функционировании Территории опережающего развития «Алексин»; об </w:t>
      </w:r>
      <w:r>
        <w:rPr>
          <w:rFonts w:ascii="Times New Roman" w:hAnsi="Times New Roman"/>
          <w:sz w:val="26"/>
        </w:rPr>
        <w:t>изменениях, вносимых в Стратегию социально-экономического  развития муниципального образования город Алексин до 2035 года.</w:t>
      </w:r>
    </w:p>
    <w:p w14:paraId="27000000">
      <w:pPr>
        <w:pStyle w:val="Style_3"/>
        <w:ind w:firstLine="708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Осуществляется оценка регулирующего воздействия, внедренная  постановлением администрации от 17.12.2015 №2839 «Об оценке регулирующего воздействия проектов муниципальных нормативных правовых актов администрации муниципального образования город Алексин, экспертизе муниципальных нормативных правовых администрации муниципального образования город Алексин,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/>
          <w:b w:val="0"/>
          <w:sz w:val="26"/>
        </w:rPr>
        <w:t xml:space="preserve"> (за </w:t>
      </w:r>
      <w:r>
        <w:rPr>
          <w:rFonts w:ascii="Times New Roman" w:hAnsi="Times New Roman"/>
          <w:b w:val="0"/>
          <w:sz w:val="26"/>
        </w:rPr>
        <w:t>2022-2023 годы – 24 муниципальных НПА</w:t>
      </w:r>
      <w:r>
        <w:rPr>
          <w:rFonts w:ascii="Times New Roman" w:hAnsi="Times New Roman"/>
          <w:b w:val="0"/>
          <w:sz w:val="26"/>
        </w:rPr>
        <w:t>)</w:t>
      </w:r>
      <w:r>
        <w:rPr>
          <w:rFonts w:ascii="Times New Roman" w:hAnsi="Times New Roman"/>
          <w:b w:val="0"/>
          <w:sz w:val="26"/>
        </w:rPr>
        <w:t>.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Заключено Концессионное соглашение №ДС/120 от 14.06.2019 в отношении объектов теплоснабжения, принадлежащих на правах собственности муниципальному образованию город Алексин.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качестве специализированного Интернет-ресурса используется раздел «Инвестиции» официального сайта муниципального образования город Алексин </w:t>
      </w:r>
      <w:r>
        <w:rPr>
          <w:rStyle w:val="Style_2_ch"/>
          <w:rFonts w:ascii="Times New Roman" w:hAnsi="Times New Roman"/>
          <w:sz w:val="26"/>
        </w:rPr>
        <w:fldChar w:fldCharType="begin"/>
      </w:r>
      <w:r>
        <w:rPr>
          <w:rStyle w:val="Style_2_ch"/>
          <w:rFonts w:ascii="Times New Roman" w:hAnsi="Times New Roman"/>
          <w:sz w:val="26"/>
        </w:rPr>
        <w:instrText>HYPERLINK "https://aleksin-r71.gosuslugi.ru/"</w:instrText>
      </w:r>
      <w:r>
        <w:rPr>
          <w:rStyle w:val="Style_2_ch"/>
          <w:rFonts w:ascii="Times New Roman" w:hAnsi="Times New Roman"/>
          <w:sz w:val="26"/>
        </w:rPr>
        <w:fldChar w:fldCharType="separate"/>
      </w:r>
      <w:r>
        <w:rPr>
          <w:rStyle w:val="Style_2_ch"/>
          <w:rFonts w:ascii="Times New Roman" w:hAnsi="Times New Roman"/>
          <w:sz w:val="26"/>
        </w:rPr>
        <w:t>https://aleksin-r71.gosuslugi.ru/</w:t>
      </w:r>
      <w:r>
        <w:rPr>
          <w:rStyle w:val="Style_2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, канал прямой связи инвесторов обеспечен. Ведется реестр проблем и обращений инвесторов.</w:t>
      </w:r>
    </w:p>
    <w:p w14:paraId="2A000000">
      <w:pPr>
        <w:pStyle w:val="Style_1"/>
        <w:widowControl w:val="0"/>
        <w:spacing w:after="0" w:before="0"/>
        <w:ind w:firstLine="708" w:left="0"/>
        <w:jc w:val="both"/>
        <w:rPr>
          <w:b w:val="1"/>
          <w:sz w:val="26"/>
        </w:rPr>
      </w:pPr>
      <w:r>
        <w:rPr>
          <w:b w:val="1"/>
          <w:sz w:val="26"/>
        </w:rPr>
        <w:t>Цели инвестиционного и предпринимательского развития муниципального образования город Алексин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Основные цели и п</w:t>
      </w:r>
      <w:r>
        <w:rPr>
          <w:rFonts w:ascii="Times New Roman" w:hAnsi="Times New Roman"/>
          <w:sz w:val="26"/>
        </w:rPr>
        <w:t xml:space="preserve">ерспективы </w:t>
      </w:r>
      <w:r>
        <w:rPr>
          <w:rFonts w:ascii="Times New Roman" w:hAnsi="Times New Roman"/>
          <w:spacing w:val="-1"/>
          <w:sz w:val="26"/>
        </w:rPr>
        <w:t>инвестиционной по</w:t>
      </w:r>
      <w:r>
        <w:rPr>
          <w:rFonts w:ascii="Times New Roman" w:hAnsi="Times New Roman"/>
          <w:sz w:val="26"/>
        </w:rPr>
        <w:t>литики муниципального образования город Алексин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формирование благоприятного инвестиционного климата в муниципальном образовании;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увеличение реального роста инвестиций в основной капитал;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переход</w:t>
      </w:r>
      <w:r>
        <w:rPr>
          <w:rFonts w:ascii="Times New Roman" w:hAnsi="Times New Roman"/>
          <w:spacing w:val="14"/>
          <w:sz w:val="26"/>
        </w:rPr>
        <w:t xml:space="preserve"> </w:t>
      </w:r>
      <w:r>
        <w:rPr>
          <w:rFonts w:ascii="Times New Roman" w:hAnsi="Times New Roman"/>
          <w:sz w:val="26"/>
        </w:rPr>
        <w:t>в режим</w:t>
      </w:r>
      <w:r>
        <w:rPr>
          <w:rFonts w:ascii="Times New Roman" w:hAnsi="Times New Roman"/>
          <w:spacing w:val="7"/>
          <w:sz w:val="26"/>
        </w:rPr>
        <w:t xml:space="preserve"> </w:t>
      </w:r>
      <w:r>
        <w:rPr>
          <w:rFonts w:ascii="Times New Roman" w:hAnsi="Times New Roman"/>
          <w:sz w:val="26"/>
        </w:rPr>
        <w:t>инновационного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развития, </w:t>
      </w:r>
      <w:r>
        <w:rPr>
          <w:rFonts w:ascii="Times New Roman" w:hAnsi="Times New Roman"/>
          <w:sz w:val="26"/>
        </w:rPr>
        <w:t>привлечение</w:t>
      </w:r>
      <w:r>
        <w:rPr>
          <w:rFonts w:ascii="Times New Roman" w:hAnsi="Times New Roman"/>
          <w:spacing w:val="23"/>
          <w:sz w:val="26"/>
        </w:rPr>
        <w:t xml:space="preserve"> </w:t>
      </w:r>
      <w:r>
        <w:rPr>
          <w:rFonts w:ascii="Times New Roman" w:hAnsi="Times New Roman"/>
          <w:sz w:val="26"/>
        </w:rPr>
        <w:t>инвестиций</w:t>
      </w:r>
      <w:r>
        <w:rPr>
          <w:rFonts w:ascii="Times New Roman" w:hAnsi="Times New Roman"/>
          <w:spacing w:val="12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24"/>
          <w:sz w:val="26"/>
        </w:rPr>
        <w:t xml:space="preserve"> </w:t>
      </w:r>
      <w:r>
        <w:rPr>
          <w:rFonts w:ascii="Times New Roman" w:hAnsi="Times New Roman"/>
          <w:sz w:val="26"/>
        </w:rPr>
        <w:t>наукоемкие</w:t>
      </w:r>
      <w:r>
        <w:rPr>
          <w:rFonts w:ascii="Times New Roman" w:hAnsi="Times New Roman"/>
          <w:spacing w:val="16"/>
          <w:sz w:val="26"/>
        </w:rPr>
        <w:t xml:space="preserve"> </w:t>
      </w:r>
      <w:r>
        <w:rPr>
          <w:rFonts w:ascii="Times New Roman" w:hAnsi="Times New Roman"/>
          <w:sz w:val="26"/>
        </w:rPr>
        <w:t>отрасли;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развитие</w:t>
      </w:r>
      <w:r>
        <w:rPr>
          <w:rFonts w:ascii="Times New Roman" w:hAnsi="Times New Roman"/>
          <w:spacing w:val="6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 xml:space="preserve">инструментов </w:t>
      </w:r>
      <w:r>
        <w:rPr>
          <w:rFonts w:ascii="Times New Roman" w:hAnsi="Times New Roman"/>
          <w:spacing w:val="-1"/>
          <w:sz w:val="26"/>
        </w:rPr>
        <w:t>муниципально-частного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pacing w:val="-1"/>
          <w:sz w:val="26"/>
        </w:rPr>
        <w:t>партнерства;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повышение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эффективности использования мер государственной поддержки</w:t>
      </w:r>
      <w:r>
        <w:rPr>
          <w:rFonts w:ascii="Times New Roman" w:hAnsi="Times New Roman"/>
          <w:spacing w:val="22"/>
          <w:sz w:val="26"/>
        </w:rPr>
        <w:t xml:space="preserve"> </w:t>
      </w:r>
      <w:r>
        <w:rPr>
          <w:rFonts w:ascii="Times New Roman" w:hAnsi="Times New Roman"/>
          <w:spacing w:val="22"/>
          <w:sz w:val="26"/>
        </w:rPr>
        <w:t>и</w:t>
      </w:r>
      <w:r>
        <w:rPr>
          <w:rFonts w:ascii="Times New Roman" w:hAnsi="Times New Roman"/>
          <w:sz w:val="26"/>
        </w:rPr>
        <w:t>нвестиционной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деятельности;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информационная</w:t>
      </w:r>
      <w:r>
        <w:rPr>
          <w:rFonts w:ascii="Times New Roman" w:hAnsi="Times New Roman"/>
          <w:spacing w:val="51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47"/>
          <w:sz w:val="26"/>
        </w:rPr>
        <w:t xml:space="preserve"> </w:t>
      </w:r>
      <w:r>
        <w:rPr>
          <w:rFonts w:ascii="Times New Roman" w:hAnsi="Times New Roman"/>
          <w:sz w:val="26"/>
        </w:rPr>
        <w:t>кадровая</w:t>
      </w:r>
      <w:r>
        <w:rPr>
          <w:rFonts w:ascii="Times New Roman" w:hAnsi="Times New Roman"/>
          <w:spacing w:val="78"/>
          <w:sz w:val="26"/>
        </w:rPr>
        <w:t xml:space="preserve"> </w:t>
      </w:r>
      <w:r>
        <w:rPr>
          <w:rFonts w:ascii="Times New Roman" w:hAnsi="Times New Roman"/>
          <w:sz w:val="26"/>
        </w:rPr>
        <w:t>поддержка инвестиционной</w:t>
      </w:r>
      <w:r>
        <w:rPr>
          <w:rFonts w:ascii="Times New Roman" w:hAnsi="Times New Roman"/>
          <w:spacing w:val="63"/>
          <w:sz w:val="26"/>
        </w:rPr>
        <w:t xml:space="preserve"> </w:t>
      </w:r>
      <w:r>
        <w:rPr>
          <w:rFonts w:ascii="Times New Roman" w:hAnsi="Times New Roman"/>
          <w:sz w:val="26"/>
        </w:rPr>
        <w:t>деятельности.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Пять стратегических направлений развития муниципального образования, изложенные в Стратегии социально-экономического развития муниципального образования город Алексин до 2035 года (утв. </w:t>
      </w:r>
      <w:r>
        <w:rPr>
          <w:rFonts w:ascii="Times New Roman" w:hAnsi="Times New Roman"/>
          <w:sz w:val="26"/>
        </w:rPr>
        <w:t>решен</w:t>
      </w:r>
      <w:r>
        <w:rPr>
          <w:rFonts w:ascii="Times New Roman" w:hAnsi="Times New Roman"/>
          <w:sz w:val="26"/>
        </w:rPr>
        <w:t xml:space="preserve">ием Советом депутатов муниципального образования город Алексин </w:t>
      </w:r>
      <w:r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>.12.</w:t>
      </w:r>
      <w:r>
        <w:rPr>
          <w:rFonts w:ascii="Times New Roman" w:hAnsi="Times New Roman"/>
          <w:sz w:val="26"/>
        </w:rPr>
        <w:t>2016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№11(32).4</w:t>
      </w:r>
      <w:r>
        <w:rPr>
          <w:rFonts w:ascii="Times New Roman" w:hAnsi="Times New Roman"/>
          <w:sz w:val="26"/>
        </w:rPr>
        <w:t>), задают основные направления инвестиционной деятельности: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Создание условий для улучшения инвестиционного климата. Поддержка малого и среднего бизнеса.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Обеспечение устойчивого развития базовых отраслей экономики (крупных и средних промышленных и сельскохозяйственных предприятий).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Развитие рынков отдыха, оздоровления и туризма.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Создание благоприятной среды жизнедеятельности населения на основе повышения качества и уровня жизни.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Развитие местного сообщества на основе становления гражданского самосознания и принципов построения гражданского общества.</w:t>
      </w:r>
    </w:p>
    <w:p w14:paraId="32000000">
      <w:pPr>
        <w:pStyle w:val="Style_1"/>
        <w:widowControl w:val="0"/>
        <w:spacing w:after="0" w:before="0"/>
        <w:ind w:firstLine="708" w:left="0"/>
        <w:jc w:val="both"/>
        <w:rPr>
          <w:b w:val="1"/>
          <w:sz w:val="26"/>
        </w:rPr>
      </w:pPr>
      <w:r>
        <w:rPr>
          <w:b w:val="1"/>
          <w:sz w:val="26"/>
        </w:rPr>
        <w:t>Инвестиционные обязательства муниципального образования город Алексин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Условия для развития бизнеса в муниципальном образовании город Алексин </w:t>
      </w:r>
      <w:r>
        <w:rPr>
          <w:rFonts w:ascii="Times New Roman" w:hAnsi="Times New Roman"/>
          <w:sz w:val="26"/>
        </w:rPr>
        <w:t xml:space="preserve">положительно стабильные. 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муниципальном образовании город Алексин н</w:t>
      </w:r>
      <w:r>
        <w:rPr>
          <w:rFonts w:ascii="Times New Roman" w:hAnsi="Times New Roman"/>
          <w:sz w:val="26"/>
        </w:rPr>
        <w:t xml:space="preserve">е принимаются решения, ухудшающие условия для ведения бизнеса. Этот принцип закреплен в нормативной базе муниципального образования. Работает механизм Оценки регулирующего воздействия и экспертизы муниципальных нормативных правовых актов. </w:t>
      </w:r>
      <w:r>
        <w:rPr>
          <w:rFonts w:ascii="Times New Roman" w:hAnsi="Times New Roman"/>
          <w:sz w:val="26"/>
        </w:rPr>
        <w:t>Совершенствуется система работы по поддержке бизнеса</w:t>
      </w:r>
      <w:r>
        <w:rPr>
          <w:rFonts w:ascii="Times New Roman" w:hAnsi="Times New Roman"/>
          <w:sz w:val="26"/>
        </w:rPr>
        <w:t>, привлечению и сопровождению инвестиционных проектов, которая дополняется новыми элементами.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Будут и далее внедрятся основные послания Стратегии социально-экономического развития муниципального образования на период до 2035 года, работать механизмы инвестиционной привлекательности территории (использование принципов «одного окна», </w:t>
      </w:r>
      <w:r>
        <w:rPr>
          <w:rFonts w:ascii="Times New Roman" w:hAnsi="Times New Roman"/>
          <w:sz w:val="26"/>
        </w:rPr>
        <w:t>муниципально-частного</w:t>
      </w:r>
      <w:r>
        <w:rPr>
          <w:rFonts w:ascii="Times New Roman" w:hAnsi="Times New Roman"/>
          <w:sz w:val="26"/>
        </w:rPr>
        <w:t xml:space="preserve"> партнерства, концессии,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деятельности»), </w:t>
      </w:r>
      <w:r>
        <w:rPr>
          <w:rFonts w:ascii="Times New Roman" w:hAnsi="Times New Roman"/>
          <w:sz w:val="26"/>
        </w:rPr>
        <w:t xml:space="preserve">стимулирование развития предпринимательства посредством оказания </w:t>
      </w:r>
      <w:r>
        <w:rPr>
          <w:rFonts w:ascii="Times New Roman" w:hAnsi="Times New Roman"/>
          <w:sz w:val="26"/>
        </w:rPr>
        <w:t>финансовой, имущественной и инфраструктурной поддержки</w:t>
      </w:r>
      <w:r>
        <w:rPr>
          <w:rFonts w:ascii="Times New Roman" w:hAnsi="Times New Roman"/>
          <w:sz w:val="26"/>
        </w:rPr>
        <w:t>, обеспечиваться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доступ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публичной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информации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органов местного самоуправления, </w:t>
      </w:r>
      <w:r>
        <w:rPr>
          <w:rFonts w:ascii="Times New Roman" w:hAnsi="Times New Roman"/>
          <w:spacing w:val="-54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отсутствие ограничений в реализации инвестиционных проектов в </w:t>
      </w:r>
      <w:r>
        <w:rPr>
          <w:rFonts w:ascii="Times New Roman" w:hAnsi="Times New Roman"/>
          <w:spacing w:val="-3"/>
          <w:sz w:val="26"/>
        </w:rPr>
        <w:t xml:space="preserve">рамках </w:t>
      </w:r>
      <w:r>
        <w:rPr>
          <w:rFonts w:ascii="Times New Roman" w:hAnsi="Times New Roman"/>
          <w:sz w:val="26"/>
        </w:rPr>
        <w:t>действующего</w:t>
      </w:r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законодательства, </w:t>
      </w:r>
      <w:r>
        <w:rPr>
          <w:rFonts w:ascii="Times New Roman" w:hAnsi="Times New Roman"/>
          <w:sz w:val="26"/>
        </w:rPr>
        <w:t>защита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капитальных</w:t>
      </w:r>
      <w:r>
        <w:rPr>
          <w:rFonts w:ascii="Times New Roman" w:hAnsi="Times New Roman"/>
          <w:spacing w:val="9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вложений. 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Что</w:t>
      </w:r>
      <w:r>
        <w:rPr>
          <w:rFonts w:ascii="Times New Roman" w:hAnsi="Times New Roman"/>
          <w:sz w:val="26"/>
        </w:rPr>
        <w:t xml:space="preserve"> позволит достичь целевые показатели, определенные Указом Президента Российской Федерации В.В. Путина от 07.05.2024 №309 «О национальных целях развития Российской Федерации на период до 2023 года и на перспективу до 2036 года»,                         по увеличению к 2030 году объема инвестиций в основной капитал не менее чем на                  60% по сравнению с уровнем 2020 года за счет постоянного улучшения инвестиционного климата.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Субъектам</w:t>
      </w:r>
      <w:r>
        <w:rPr>
          <w:rFonts w:ascii="Times New Roman" w:hAnsi="Times New Roman"/>
          <w:spacing w:val="56"/>
          <w:sz w:val="26"/>
        </w:rPr>
        <w:t xml:space="preserve"> </w:t>
      </w:r>
      <w:r>
        <w:rPr>
          <w:rFonts w:ascii="Times New Roman" w:hAnsi="Times New Roman"/>
          <w:sz w:val="26"/>
        </w:rPr>
        <w:t>инвестиционной</w:t>
      </w:r>
      <w:r>
        <w:rPr>
          <w:rFonts w:ascii="Times New Roman" w:hAnsi="Times New Roman"/>
          <w:spacing w:val="56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56"/>
          <w:sz w:val="26"/>
        </w:rPr>
        <w:t xml:space="preserve"> </w:t>
      </w:r>
      <w:r>
        <w:rPr>
          <w:rFonts w:ascii="Times New Roman" w:hAnsi="Times New Roman"/>
          <w:sz w:val="26"/>
        </w:rPr>
        <w:t>предпринимательской</w:t>
      </w:r>
      <w:r>
        <w:rPr>
          <w:rFonts w:ascii="Times New Roman" w:hAnsi="Times New Roman"/>
          <w:spacing w:val="57"/>
          <w:sz w:val="26"/>
        </w:rPr>
        <w:t xml:space="preserve"> </w:t>
      </w:r>
      <w:r>
        <w:rPr>
          <w:rFonts w:ascii="Times New Roman" w:hAnsi="Times New Roman"/>
          <w:sz w:val="26"/>
        </w:rPr>
        <w:t>деятельности</w:t>
      </w:r>
      <w:r>
        <w:rPr>
          <w:rFonts w:ascii="Times New Roman" w:hAnsi="Times New Roman"/>
          <w:spacing w:val="56"/>
          <w:sz w:val="26"/>
        </w:rPr>
        <w:t xml:space="preserve"> </w:t>
      </w:r>
      <w:r>
        <w:rPr>
          <w:rFonts w:ascii="Times New Roman" w:hAnsi="Times New Roman"/>
          <w:sz w:val="26"/>
        </w:rPr>
        <w:t>гарантируется обеспечение равных прав при распределении ресурсов для целей реализации</w:t>
      </w:r>
      <w:r>
        <w:rPr>
          <w:rFonts w:ascii="Times New Roman" w:hAnsi="Times New Roman"/>
          <w:spacing w:val="-57"/>
          <w:sz w:val="26"/>
        </w:rPr>
        <w:t xml:space="preserve"> </w:t>
      </w:r>
      <w:r>
        <w:rPr>
          <w:rFonts w:ascii="Times New Roman" w:hAnsi="Times New Roman"/>
          <w:sz w:val="26"/>
        </w:rPr>
        <w:t>инвестиционных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проектов, соблюдение сроков согласования и предоставления разрешительной документации, необходимой для ведения инвестиционной деятельности, создание комфортных условий для бизнеса.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2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5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2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34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21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36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8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24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4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Standard"/>
    <w:link w:val="Style_5_ch"/>
    <w:pPr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Standard"/>
    <w:link w:val="Style_5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numPr>
        <w:ilvl w:val="6"/>
        <w:numId w:val="1"/>
      </w:numPr>
      <w:spacing w:after="0" w:line="240" w:lineRule="auto"/>
      <w:ind/>
      <w:outlineLvl w:val="6"/>
    </w:pPr>
    <w:rPr>
      <w:rFonts w:ascii="Times New Roman" w:hAnsi="Times New Roman"/>
      <w:b w:val="1"/>
      <w:sz w:val="28"/>
    </w:rPr>
  </w:style>
  <w:style w:styleId="Style_8_ch" w:type="character">
    <w:name w:val="heading 7"/>
    <w:basedOn w:val="Style_4_ch"/>
    <w:link w:val="Style_8"/>
    <w:rPr>
      <w:rFonts w:ascii="Times New Roman" w:hAnsi="Times New Roman"/>
      <w:b w:val="1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numPr>
        <w:ilvl w:val="2"/>
        <w:numId w:val="1"/>
      </w:numPr>
      <w:spacing w:after="0" w:line="240" w:lineRule="auto"/>
      <w:ind/>
      <w:jc w:val="both"/>
      <w:outlineLvl w:val="2"/>
    </w:pPr>
    <w:rPr>
      <w:rFonts w:ascii="Times New Roman" w:hAnsi="Times New Roman"/>
      <w:sz w:val="28"/>
    </w:rPr>
  </w:style>
  <w:style w:styleId="Style_12_ch" w:type="character">
    <w:name w:val="heading 3"/>
    <w:basedOn w:val="Style_4_ch"/>
    <w:link w:val="Style_12"/>
    <w:rPr>
      <w:rFonts w:ascii="Times New Roman" w:hAnsi="Times New Roman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9"/>
    <w:basedOn w:val="Style_4"/>
    <w:next w:val="Style_4"/>
    <w:link w:val="Style_14_ch"/>
    <w:uiPriority w:val="9"/>
    <w:qFormat/>
    <w:pPr>
      <w:keepNext w:val="1"/>
      <w:numPr>
        <w:ilvl w:val="8"/>
        <w:numId w:val="1"/>
      </w:numPr>
      <w:spacing w:after="0" w:line="240" w:lineRule="auto"/>
      <w:ind/>
      <w:outlineLvl w:val="8"/>
    </w:pPr>
    <w:rPr>
      <w:rFonts w:ascii="Times New Roman" w:hAnsi="Times New Roman"/>
      <w:b w:val="1"/>
      <w:sz w:val="26"/>
    </w:rPr>
  </w:style>
  <w:style w:styleId="Style_14_ch" w:type="character">
    <w:name w:val="heading 9"/>
    <w:basedOn w:val="Style_4_ch"/>
    <w:link w:val="Style_14"/>
    <w:rPr>
      <w:rFonts w:ascii="Times New Roman" w:hAnsi="Times New Roman"/>
      <w:b w:val="1"/>
      <w:sz w:val="26"/>
    </w:rPr>
  </w:style>
  <w:style w:styleId="Style_15" w:type="paragraph">
    <w:name w:val="Plain Text"/>
    <w:basedOn w:val="Style_4"/>
    <w:link w:val="Style_15_ch"/>
    <w:pPr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Plain Text"/>
    <w:basedOn w:val="Style_4_ch"/>
    <w:link w:val="Style_15"/>
    <w:rPr>
      <w:rFonts w:ascii="Courier New" w:hAnsi="Courier New"/>
      <w:sz w:val="20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Strong"/>
    <w:basedOn w:val="Style_18"/>
    <w:link w:val="Style_17_ch"/>
    <w:rPr>
      <w:b w:val="1"/>
    </w:rPr>
  </w:style>
  <w:style w:styleId="Style_17_ch" w:type="character">
    <w:name w:val="Strong"/>
    <w:basedOn w:val="Style_18_ch"/>
    <w:link w:val="Style_17"/>
    <w:rPr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Indent"/>
    <w:basedOn w:val="Style_4"/>
    <w:link w:val="Style_20_ch"/>
    <w:pPr>
      <w:spacing w:after="120"/>
      <w:ind w:firstLine="0" w:left="283"/>
    </w:pPr>
  </w:style>
  <w:style w:styleId="Style_20_ch" w:type="character">
    <w:name w:val="Body Text Indent"/>
    <w:basedOn w:val="Style_4_ch"/>
    <w:link w:val="Style_20"/>
  </w:style>
  <w:style w:styleId="Style_21" w:type="paragraph">
    <w:name w:val="heading 5"/>
    <w:basedOn w:val="Style_4"/>
    <w:next w:val="Style_4"/>
    <w:link w:val="Style_21_ch"/>
    <w:uiPriority w:val="9"/>
    <w:qFormat/>
    <w:pPr>
      <w:keepNext w:val="1"/>
      <w:numPr>
        <w:ilvl w:val="4"/>
        <w:numId w:val="1"/>
      </w:numPr>
      <w:spacing w:after="0" w:line="240" w:lineRule="auto"/>
      <w:ind/>
      <w:outlineLvl w:val="4"/>
    </w:pPr>
    <w:rPr>
      <w:rFonts w:ascii="Times New Roman" w:hAnsi="Times New Roman"/>
      <w:b w:val="1"/>
      <w:sz w:val="28"/>
    </w:rPr>
  </w:style>
  <w:style w:styleId="Style_21_ch" w:type="character">
    <w:name w:val="heading 5"/>
    <w:basedOn w:val="Style_4_ch"/>
    <w:link w:val="Style_21"/>
    <w:rPr>
      <w:rFonts w:ascii="Times New Roman" w:hAnsi="Times New Roman"/>
      <w:b w:val="1"/>
      <w:sz w:val="28"/>
    </w:rPr>
  </w:style>
  <w:style w:styleId="Style_22" w:type="paragraph">
    <w:name w:val="heading 1"/>
    <w:basedOn w:val="Style_4"/>
    <w:next w:val="Style_4"/>
    <w:link w:val="Style_22_ch"/>
    <w:uiPriority w:val="9"/>
    <w:qFormat/>
    <w:pPr>
      <w:keepNext w:val="1"/>
      <w:numPr>
        <w:numId w:val="1"/>
      </w:numPr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2_ch" w:type="character">
    <w:name w:val="heading 1"/>
    <w:basedOn w:val="Style_4_ch"/>
    <w:link w:val="Style_22"/>
    <w:rPr>
      <w:rFonts w:ascii="Times New Roman" w:hAnsi="Times New Roman"/>
      <w:sz w:val="28"/>
    </w:rPr>
  </w:style>
  <w:style w:styleId="Style_2" w:type="paragraph">
    <w:name w:val="Hyperlink"/>
    <w:basedOn w:val="Style_18"/>
    <w:link w:val="Style_2_ch"/>
    <w:rPr>
      <w:color w:themeColor="hyperlink" w:val="0000FF"/>
      <w:u w:val="single"/>
    </w:rPr>
  </w:style>
  <w:style w:styleId="Style_2_ch" w:type="character">
    <w:name w:val="Hyperlink"/>
    <w:basedOn w:val="Style_18_ch"/>
    <w:link w:val="Style_2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numPr>
        <w:ilvl w:val="7"/>
        <w:numId w:val="1"/>
      </w:numPr>
      <w:spacing w:after="0" w:line="240" w:lineRule="auto"/>
      <w:ind/>
      <w:outlineLvl w:val="7"/>
    </w:pPr>
    <w:rPr>
      <w:rFonts w:ascii="Times New Roman" w:hAnsi="Times New Roman"/>
      <w:sz w:val="28"/>
    </w:rPr>
  </w:style>
  <w:style w:styleId="Style_24_ch" w:type="character">
    <w:name w:val="heading 8"/>
    <w:basedOn w:val="Style_4_ch"/>
    <w:link w:val="Style_24"/>
    <w:rPr>
      <w:rFonts w:ascii="Times New Roman" w:hAnsi="Times New Roman"/>
      <w:sz w:val="28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"/>
    <w:basedOn w:val="Style_4"/>
    <w:link w:val="Style_28_ch"/>
    <w:pPr>
      <w:widowControl w:val="0"/>
      <w:spacing w:after="0" w:before="1" w:line="240" w:lineRule="auto"/>
      <w:ind w:firstLine="852" w:left="112"/>
      <w:jc w:val="both"/>
    </w:pPr>
    <w:rPr>
      <w:rFonts w:ascii="Times New Roman" w:hAnsi="Times New Roman"/>
      <w:sz w:val="24"/>
    </w:rPr>
  </w:style>
  <w:style w:styleId="Style_28_ch" w:type="character">
    <w:name w:val="Body Text"/>
    <w:basedOn w:val="Style_4_ch"/>
    <w:link w:val="Style_28"/>
    <w:rPr>
      <w:rFonts w:ascii="Times New Roman" w:hAnsi="Times New Roman"/>
      <w:sz w:val="24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сновной текст 21"/>
    <w:basedOn w:val="Style_4"/>
    <w:link w:val="Style_30_ch"/>
    <w:pPr>
      <w:spacing w:after="0" w:line="240" w:lineRule="auto"/>
      <w:ind/>
      <w:jc w:val="center"/>
    </w:pPr>
    <w:rPr>
      <w:rFonts w:ascii="Times New Roman" w:hAnsi="Times New Roman"/>
      <w:b w:val="1"/>
      <w:i w:val="1"/>
      <w:sz w:val="28"/>
    </w:rPr>
  </w:style>
  <w:style w:styleId="Style_30_ch" w:type="character">
    <w:name w:val="Основной текст 21"/>
    <w:basedOn w:val="Style_4_ch"/>
    <w:link w:val="Style_30"/>
    <w:rPr>
      <w:rFonts w:ascii="Times New Roman" w:hAnsi="Times New Roman"/>
      <w:b w:val="1"/>
      <w:i w:val="1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" w:type="paragraph">
    <w:name w:val="Normal (Web)"/>
    <w:basedOn w:val="Style_4"/>
    <w:link w:val="Style_1_ch"/>
    <w:pPr>
      <w:spacing w:after="119" w:before="100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basedOn w:val="Style_4"/>
    <w:next w:val="Style_4"/>
    <w:link w:val="Style_34_ch"/>
    <w:uiPriority w:val="9"/>
    <w:qFormat/>
    <w:pPr>
      <w:keepNext w:val="1"/>
      <w:numPr>
        <w:ilvl w:val="3"/>
        <w:numId w:val="1"/>
      </w:numPr>
      <w:spacing w:after="0" w:line="240" w:lineRule="auto"/>
      <w:ind/>
      <w:jc w:val="both"/>
      <w:outlineLvl w:val="3"/>
    </w:pPr>
    <w:rPr>
      <w:rFonts w:ascii="Times New Roman" w:hAnsi="Times New Roman"/>
      <w:sz w:val="32"/>
    </w:rPr>
  </w:style>
  <w:style w:styleId="Style_34_ch" w:type="character">
    <w:name w:val="heading 4"/>
    <w:basedOn w:val="Style_4_ch"/>
    <w:link w:val="Style_34"/>
    <w:rPr>
      <w:rFonts w:ascii="Times New Roman" w:hAnsi="Times New Roman"/>
      <w:sz w:val="32"/>
    </w:rPr>
  </w:style>
  <w:style w:styleId="Style_35" w:type="paragraph">
    <w:name w:val="heading 2"/>
    <w:basedOn w:val="Style_4"/>
    <w:next w:val="Style_4"/>
    <w:link w:val="Style_35_ch"/>
    <w:uiPriority w:val="9"/>
    <w:qFormat/>
    <w:pPr>
      <w:keepNext w:val="1"/>
      <w:numPr>
        <w:ilvl w:val="1"/>
        <w:numId w:val="1"/>
      </w:numPr>
      <w:spacing w:after="0" w:line="240" w:lineRule="auto"/>
      <w:ind/>
      <w:jc w:val="center"/>
      <w:outlineLvl w:val="1"/>
    </w:pPr>
    <w:rPr>
      <w:rFonts w:ascii="Times New Roman" w:hAnsi="Times New Roman"/>
      <w:sz w:val="36"/>
    </w:rPr>
  </w:style>
  <w:style w:styleId="Style_35_ch" w:type="character">
    <w:name w:val="heading 2"/>
    <w:basedOn w:val="Style_4_ch"/>
    <w:link w:val="Style_35"/>
    <w:rPr>
      <w:rFonts w:ascii="Times New Roman" w:hAnsi="Times New Roman"/>
      <w:sz w:val="36"/>
    </w:rPr>
  </w:style>
  <w:style w:styleId="Style_36" w:type="paragraph">
    <w:name w:val="heading 6"/>
    <w:basedOn w:val="Style_4"/>
    <w:next w:val="Style_4"/>
    <w:link w:val="Style_36_ch"/>
    <w:uiPriority w:val="9"/>
    <w:qFormat/>
    <w:pPr>
      <w:keepNext w:val="1"/>
      <w:numPr>
        <w:ilvl w:val="5"/>
        <w:numId w:val="1"/>
      </w:numPr>
      <w:spacing w:after="0" w:line="240" w:lineRule="auto"/>
      <w:ind/>
      <w:outlineLvl w:val="5"/>
    </w:pPr>
    <w:rPr>
      <w:rFonts w:ascii="Times New Roman" w:hAnsi="Times New Roman"/>
      <w:sz w:val="28"/>
    </w:rPr>
  </w:style>
  <w:style w:styleId="Style_36_ch" w:type="character">
    <w:name w:val="heading 6"/>
    <w:basedOn w:val="Style_4_ch"/>
    <w:link w:val="Style_36"/>
    <w:rPr>
      <w:rFonts w:ascii="Times New Roman" w:hAnsi="Times New Roman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2025-05-06T09:16:18Z</dcterms:modified>
</cp:coreProperties>
</file>