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w:t>
      </w:r>
      <w:r w:rsidRPr="008B6326">
        <w:rPr>
          <w:rFonts w:ascii="PT Astra Serif" w:hAnsi="PT Astra Serif"/>
          <w:color w:val="0D0D0D" w:themeColor="text1" w:themeTint="F2"/>
          <w:sz w:val="24"/>
          <w:szCs w:val="24"/>
        </w:rPr>
        <w:lastRenderedPageBreak/>
        <w:t>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w:t>
      </w:r>
      <w:r w:rsidRPr="008B6326">
        <w:rPr>
          <w:rFonts w:ascii="PT Astra Serif" w:hAnsi="PT Astra Serif"/>
          <w:color w:val="0D0D0D" w:themeColor="text1" w:themeTint="F2"/>
          <w:sz w:val="24"/>
          <w:szCs w:val="24"/>
        </w:rPr>
        <w:lastRenderedPageBreak/>
        <w:t>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w:t>
      </w:r>
      <w:r w:rsidRPr="008B6326">
        <w:rPr>
          <w:rFonts w:ascii="PT Astra Serif" w:hAnsi="PT Astra Serif"/>
          <w:color w:val="0D0D0D" w:themeColor="text1" w:themeTint="F2"/>
          <w:sz w:val="24"/>
          <w:szCs w:val="24"/>
        </w:rPr>
        <w:lastRenderedPageBreak/>
        <w:t>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w:t>
      </w:r>
      <w:r w:rsidRPr="008B6326">
        <w:rPr>
          <w:rFonts w:ascii="PT Astra Serif" w:hAnsi="PT Astra Serif"/>
          <w:color w:val="0D0D0D" w:themeColor="text1" w:themeTint="F2"/>
          <w:sz w:val="24"/>
          <w:szCs w:val="24"/>
        </w:rPr>
        <w:lastRenderedPageBreak/>
        <w:t>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spellStart"/>
      <w:r w:rsidRPr="008B6326">
        <w:rPr>
          <w:rFonts w:ascii="PT Astra Serif" w:hAnsi="PT Astra Serif"/>
          <w:color w:val="0D0D0D" w:themeColor="text1" w:themeTint="F2"/>
          <w:sz w:val="24"/>
          <w:szCs w:val="24"/>
        </w:rPr>
        <w:t>д</w:t>
      </w:r>
      <w:proofErr w:type="spellEnd"/>
      <w:r w:rsidRPr="008B6326">
        <w:rPr>
          <w:rFonts w:ascii="PT Astra Serif" w:hAnsi="PT Astra Serif"/>
          <w:color w:val="0D0D0D" w:themeColor="text1" w:themeTint="F2"/>
          <w:sz w:val="24"/>
          <w:szCs w:val="24"/>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spellStart"/>
      <w:r w:rsidRPr="008B6326">
        <w:rPr>
          <w:rFonts w:ascii="PT Astra Serif" w:hAnsi="PT Astra Serif"/>
          <w:color w:val="0D0D0D" w:themeColor="text1" w:themeTint="F2"/>
          <w:sz w:val="24"/>
          <w:szCs w:val="24"/>
        </w:rPr>
        <w:t>з</w:t>
      </w:r>
      <w:proofErr w:type="spellEnd"/>
      <w:r w:rsidRPr="008B6326">
        <w:rPr>
          <w:rFonts w:ascii="PT Astra Serif" w:hAnsi="PT Astra Serif"/>
          <w:color w:val="0D0D0D" w:themeColor="text1" w:themeTint="F2"/>
          <w:sz w:val="24"/>
          <w:szCs w:val="24"/>
        </w:rPr>
        <w:t>)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spellStart"/>
      <w:r w:rsidRPr="008B6326">
        <w:rPr>
          <w:rFonts w:ascii="PT Astra Serif" w:hAnsi="PT Astra Serif"/>
          <w:color w:val="0D0D0D" w:themeColor="text1" w:themeTint="F2"/>
          <w:sz w:val="24"/>
          <w:szCs w:val="24"/>
        </w:rPr>
        <w:lastRenderedPageBreak/>
        <w:t>д</w:t>
      </w:r>
      <w:proofErr w:type="spellEnd"/>
      <w:r w:rsidRPr="008B6326">
        <w:rPr>
          <w:rFonts w:ascii="PT Astra Serif" w:hAnsi="PT Astra Serif"/>
          <w:color w:val="0D0D0D" w:themeColor="text1" w:themeTint="F2"/>
          <w:sz w:val="24"/>
          <w:szCs w:val="24"/>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proofErr w:type="spellStart"/>
      <w:r w:rsidRPr="008B6326">
        <w:rPr>
          <w:rFonts w:ascii="PT Astra Serif" w:hAnsi="PT Astra Serif"/>
          <w:color w:val="0D0D0D" w:themeColor="text1" w:themeTint="F2"/>
          <w:sz w:val="24"/>
          <w:szCs w:val="24"/>
        </w:rPr>
        <w:t>д</w:t>
      </w:r>
      <w:proofErr w:type="spellEnd"/>
      <w:r w:rsidRPr="008B6326">
        <w:rPr>
          <w:rFonts w:ascii="PT Astra Serif" w:hAnsi="PT Astra Serif"/>
          <w:color w:val="0D0D0D" w:themeColor="text1" w:themeTint="F2"/>
          <w:sz w:val="24"/>
          <w:szCs w:val="24"/>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Информация о кадровом обеспечении государственного органа, органа местного самоуправления, указанная в подпунктах "б" - "</w:t>
      </w:r>
      <w:proofErr w:type="spellStart"/>
      <w:r w:rsidRPr="008B6326">
        <w:rPr>
          <w:rFonts w:ascii="PT Astra Serif" w:hAnsi="PT Astra Serif"/>
          <w:color w:val="0D0D0D" w:themeColor="text1" w:themeTint="F2"/>
          <w:sz w:val="24"/>
          <w:szCs w:val="24"/>
        </w:rPr>
        <w:t>д</w:t>
      </w:r>
      <w:proofErr w:type="spellEnd"/>
      <w:r w:rsidRPr="008B6326">
        <w:rPr>
          <w:rFonts w:ascii="PT Astra Serif" w:hAnsi="PT Astra Serif"/>
          <w:color w:val="0D0D0D" w:themeColor="text1" w:themeTint="F2"/>
          <w:sz w:val="24"/>
          <w:szCs w:val="24"/>
        </w:rPr>
        <w:t>"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lastRenderedPageBreak/>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w:t>
      </w:r>
      <w:r w:rsidRPr="008B6326">
        <w:rPr>
          <w:rFonts w:ascii="PT Astra Serif" w:hAnsi="PT Astra Serif"/>
          <w:color w:val="0D0D0D" w:themeColor="text1" w:themeTint="F2"/>
          <w:sz w:val="24"/>
          <w:szCs w:val="24"/>
        </w:rPr>
        <w:lastRenderedPageBreak/>
        <w:t>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31" w:rsidRDefault="004B4D31" w:rsidP="008B6326">
      <w:r>
        <w:separator/>
      </w:r>
    </w:p>
  </w:endnote>
  <w:endnote w:type="continuationSeparator" w:id="0">
    <w:p w:rsidR="004B4D31" w:rsidRDefault="004B4D31" w:rsidP="008B6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31" w:rsidRDefault="004B4D31" w:rsidP="008B6326">
      <w:r>
        <w:separator/>
      </w:r>
    </w:p>
  </w:footnote>
  <w:footnote w:type="continuationSeparator" w:id="0">
    <w:p w:rsidR="004B4D31" w:rsidRDefault="004B4D31" w:rsidP="008B6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661817"/>
      <w:docPartObj>
        <w:docPartGallery w:val="Page Numbers (Top of Page)"/>
        <w:docPartUnique/>
      </w:docPartObj>
    </w:sdtPr>
    <w:sdtContent>
      <w:p w:rsidR="008B6326" w:rsidRDefault="00C83418">
        <w:pPr>
          <w:pStyle w:val="a7"/>
        </w:pPr>
        <w:r>
          <w:fldChar w:fldCharType="begin"/>
        </w:r>
        <w:r w:rsidR="008B6326">
          <w:instrText>PAGE   \* MERGEFORMAT</w:instrText>
        </w:r>
        <w:r>
          <w:fldChar w:fldCharType="separate"/>
        </w:r>
        <w:r w:rsidR="00FA37EE">
          <w:rPr>
            <w:noProof/>
          </w:rPr>
          <w:t>18</w:t>
        </w:r>
        <w:r>
          <w:fldChar w:fldCharType="end"/>
        </w:r>
      </w:p>
    </w:sdtContent>
  </w:sdt>
  <w:p w:rsidR="008B6326" w:rsidRDefault="008B63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footnotePr>
    <w:footnote w:id="-1"/>
    <w:footnote w:id="0"/>
  </w:footnotePr>
  <w:endnotePr>
    <w:endnote w:id="-1"/>
    <w:endnote w:id="0"/>
  </w:endnotePr>
  <w:compat/>
  <w:rsids>
    <w:rsidRoot w:val="00742448"/>
    <w:rsid w:val="00013010"/>
    <w:rsid w:val="00026220"/>
    <w:rsid w:val="000A0DBD"/>
    <w:rsid w:val="000E5013"/>
    <w:rsid w:val="001765DE"/>
    <w:rsid w:val="001F4682"/>
    <w:rsid w:val="0020513D"/>
    <w:rsid w:val="002256DA"/>
    <w:rsid w:val="00236519"/>
    <w:rsid w:val="00264F7C"/>
    <w:rsid w:val="00330149"/>
    <w:rsid w:val="003728DC"/>
    <w:rsid w:val="003C3D7E"/>
    <w:rsid w:val="00410147"/>
    <w:rsid w:val="0042253A"/>
    <w:rsid w:val="004B4D31"/>
    <w:rsid w:val="0056594A"/>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BC7BAE"/>
    <w:rsid w:val="00C17E7A"/>
    <w:rsid w:val="00C83418"/>
    <w:rsid w:val="00C97689"/>
    <w:rsid w:val="00CE0193"/>
    <w:rsid w:val="00CE5FC6"/>
    <w:rsid w:val="00CF693A"/>
    <w:rsid w:val="00DA55D6"/>
    <w:rsid w:val="00DA5B4E"/>
    <w:rsid w:val="00E705F5"/>
    <w:rsid w:val="00EF3756"/>
    <w:rsid w:val="00FA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r="http://schemas.openxmlformats.org/officeDocument/2006/relationships" xmlns:w="http://schemas.openxmlformats.org/wordprocessingml/2006/main">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2F1A-8692-4BBC-B24C-C1C65119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8646</Words>
  <Characters>49283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Жанна Викторовна</dc:creator>
  <cp:lastModifiedBy>admin</cp:lastModifiedBy>
  <cp:revision>2</cp:revision>
  <dcterms:created xsi:type="dcterms:W3CDTF">2024-08-29T14:18:00Z</dcterms:created>
  <dcterms:modified xsi:type="dcterms:W3CDTF">2024-08-29T14:18:00Z</dcterms:modified>
</cp:coreProperties>
</file>